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73B6D" w14:textId="515E8BEC" w:rsidR="00A44017" w:rsidRPr="00C7605D" w:rsidRDefault="00A44017" w:rsidP="00A44017">
      <w:pPr>
        <w:jc w:val="center"/>
        <w:rPr>
          <w:b/>
          <w:bCs/>
        </w:rPr>
      </w:pPr>
    </w:p>
    <w:p w14:paraId="456F8F73" w14:textId="77777777" w:rsidR="00A44017" w:rsidRPr="00C7605D" w:rsidRDefault="00A44017" w:rsidP="00A44017">
      <w:pPr>
        <w:jc w:val="center"/>
        <w:rPr>
          <w:sz w:val="28"/>
          <w:szCs w:val="28"/>
        </w:rPr>
      </w:pPr>
    </w:p>
    <w:p w14:paraId="00FDE8AF" w14:textId="1A56827A" w:rsidR="00A44017" w:rsidRPr="007066EA" w:rsidRDefault="00406DB3" w:rsidP="00B13A25">
      <w:pPr>
        <w:jc w:val="center"/>
        <w:rPr>
          <w:sz w:val="28"/>
          <w:szCs w:val="28"/>
        </w:rPr>
      </w:pPr>
      <w:r w:rsidRPr="007066EA">
        <w:rPr>
          <w:noProof/>
          <w:sz w:val="28"/>
          <w:szCs w:val="28"/>
        </w:rPr>
        <w:drawing>
          <wp:inline distT="0" distB="0" distL="0" distR="0" wp14:anchorId="03D8526C" wp14:editId="2671560B">
            <wp:extent cx="5118100" cy="2298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42B3C" w14:textId="77777777" w:rsidR="00A44017" w:rsidRPr="007066EA" w:rsidRDefault="00A44017" w:rsidP="00A44017">
      <w:pPr>
        <w:jc w:val="center"/>
        <w:rPr>
          <w:b/>
          <w:bCs/>
          <w:sz w:val="28"/>
          <w:szCs w:val="28"/>
        </w:rPr>
      </w:pPr>
    </w:p>
    <w:p w14:paraId="118B7657" w14:textId="77777777" w:rsidR="00A44017" w:rsidRPr="007066EA" w:rsidRDefault="00A44017" w:rsidP="00A44017">
      <w:pPr>
        <w:jc w:val="center"/>
        <w:rPr>
          <w:b/>
          <w:bCs/>
          <w:sz w:val="28"/>
          <w:szCs w:val="28"/>
        </w:rPr>
      </w:pPr>
    </w:p>
    <w:p w14:paraId="2E47A8E8" w14:textId="77777777" w:rsidR="00A44017" w:rsidRPr="007066EA" w:rsidRDefault="00A44017" w:rsidP="00A44017">
      <w:pPr>
        <w:jc w:val="center"/>
        <w:rPr>
          <w:b/>
          <w:bCs/>
          <w:sz w:val="28"/>
          <w:szCs w:val="28"/>
        </w:rPr>
      </w:pPr>
      <w:r w:rsidRPr="007066EA">
        <w:rPr>
          <w:b/>
          <w:bCs/>
          <w:sz w:val="28"/>
          <w:szCs w:val="28"/>
        </w:rPr>
        <w:t xml:space="preserve">Supplementary Materials for the article </w:t>
      </w:r>
    </w:p>
    <w:p w14:paraId="0E279E72" w14:textId="77777777" w:rsidR="00A44017" w:rsidRPr="007066EA" w:rsidRDefault="00A44017" w:rsidP="00A44017">
      <w:pPr>
        <w:jc w:val="center"/>
        <w:rPr>
          <w:sz w:val="28"/>
          <w:szCs w:val="28"/>
        </w:rPr>
      </w:pPr>
    </w:p>
    <w:p w14:paraId="20F62231" w14:textId="77777777" w:rsidR="00A44017" w:rsidRPr="007066EA" w:rsidRDefault="00A44017" w:rsidP="00A44017">
      <w:pPr>
        <w:jc w:val="center"/>
        <w:rPr>
          <w:sz w:val="28"/>
          <w:szCs w:val="28"/>
        </w:rPr>
      </w:pPr>
    </w:p>
    <w:p w14:paraId="1D8A786C" w14:textId="535A9764" w:rsidR="00A44017" w:rsidRPr="007066EA" w:rsidRDefault="00A44017" w:rsidP="00A44017">
      <w:pPr>
        <w:jc w:val="center"/>
        <w:rPr>
          <w:sz w:val="28"/>
          <w:szCs w:val="28"/>
        </w:rPr>
      </w:pPr>
      <w:r w:rsidRPr="007066EA">
        <w:rPr>
          <w:sz w:val="28"/>
          <w:szCs w:val="28"/>
        </w:rPr>
        <w:t>“</w:t>
      </w:r>
      <w:r w:rsidR="005579C7" w:rsidRPr="007066EA">
        <w:rPr>
          <w:sz w:val="28"/>
          <w:szCs w:val="28"/>
        </w:rPr>
        <w:t>R</w:t>
      </w:r>
      <w:r w:rsidR="00A33E15" w:rsidRPr="007066EA">
        <w:rPr>
          <w:sz w:val="28"/>
          <w:szCs w:val="28"/>
        </w:rPr>
        <w:t xml:space="preserve">ed-light thresholds for </w:t>
      </w:r>
      <w:r w:rsidR="00406DB3" w:rsidRPr="007066EA">
        <w:rPr>
          <w:sz w:val="28"/>
          <w:szCs w:val="28"/>
        </w:rPr>
        <w:t>induced seismicity</w:t>
      </w:r>
      <w:r w:rsidR="00A33E15" w:rsidRPr="007066EA">
        <w:rPr>
          <w:sz w:val="28"/>
          <w:szCs w:val="28"/>
        </w:rPr>
        <w:t xml:space="preserve"> in the </w:t>
      </w:r>
      <w:r w:rsidR="00406DB3" w:rsidRPr="007066EA">
        <w:rPr>
          <w:sz w:val="28"/>
          <w:szCs w:val="28"/>
        </w:rPr>
        <w:t>UK</w:t>
      </w:r>
      <w:r w:rsidRPr="007066EA">
        <w:rPr>
          <w:sz w:val="28"/>
          <w:szCs w:val="28"/>
        </w:rPr>
        <w:t>”</w:t>
      </w:r>
    </w:p>
    <w:p w14:paraId="643A956C" w14:textId="77777777" w:rsidR="00A44017" w:rsidRPr="007066EA" w:rsidRDefault="00A44017" w:rsidP="00A44017">
      <w:pPr>
        <w:jc w:val="center"/>
        <w:rPr>
          <w:b/>
          <w:sz w:val="32"/>
          <w:szCs w:val="32"/>
        </w:rPr>
      </w:pPr>
    </w:p>
    <w:p w14:paraId="36832BAF" w14:textId="77777777" w:rsidR="00A44017" w:rsidRPr="007066EA" w:rsidRDefault="00A44017" w:rsidP="00A44017">
      <w:pPr>
        <w:jc w:val="center"/>
        <w:rPr>
          <w:b/>
        </w:rPr>
      </w:pPr>
    </w:p>
    <w:p w14:paraId="612FB9D4" w14:textId="77777777" w:rsidR="00A44017" w:rsidRPr="007066EA" w:rsidRDefault="00A44017" w:rsidP="00A44017">
      <w:pPr>
        <w:jc w:val="center"/>
        <w:rPr>
          <w:i/>
        </w:rPr>
      </w:pPr>
      <w:r w:rsidRPr="007066EA">
        <w:rPr>
          <w:i/>
        </w:rPr>
        <w:t>by</w:t>
      </w:r>
    </w:p>
    <w:p w14:paraId="584EA88B" w14:textId="6427D9E1" w:rsidR="00171584" w:rsidRPr="007066EA" w:rsidRDefault="00A44017" w:rsidP="00A44017">
      <w:pPr>
        <w:jc w:val="center"/>
        <w:rPr>
          <w:i/>
        </w:rPr>
      </w:pPr>
      <w:r w:rsidRPr="007066EA">
        <w:rPr>
          <w:i/>
        </w:rPr>
        <w:t xml:space="preserve">Ryan Schultz, </w:t>
      </w:r>
      <w:r w:rsidR="00755F0F" w:rsidRPr="007066EA">
        <w:rPr>
          <w:i/>
        </w:rPr>
        <w:t xml:space="preserve">Brian </w:t>
      </w:r>
      <w:proofErr w:type="spellStart"/>
      <w:r w:rsidR="00755F0F" w:rsidRPr="007066EA">
        <w:rPr>
          <w:i/>
        </w:rPr>
        <w:t>Baptie</w:t>
      </w:r>
      <w:proofErr w:type="spellEnd"/>
      <w:r w:rsidR="00A33E15" w:rsidRPr="007066EA">
        <w:rPr>
          <w:i/>
        </w:rPr>
        <w:t xml:space="preserve">, </w:t>
      </w:r>
    </w:p>
    <w:p w14:paraId="7EF8F15F" w14:textId="5CE66CD9" w:rsidR="00A44017" w:rsidRPr="007066EA" w:rsidRDefault="00755F0F" w:rsidP="00171584">
      <w:pPr>
        <w:jc w:val="center"/>
        <w:rPr>
          <w:i/>
        </w:rPr>
      </w:pPr>
      <w:r w:rsidRPr="007066EA">
        <w:rPr>
          <w:i/>
        </w:rPr>
        <w:t>Benjamin Edwards</w:t>
      </w:r>
      <w:r w:rsidR="00A33E15" w:rsidRPr="007066EA">
        <w:rPr>
          <w:i/>
        </w:rPr>
        <w:t xml:space="preserve">, </w:t>
      </w:r>
      <w:r w:rsidR="00A44017" w:rsidRPr="007066EA">
        <w:rPr>
          <w:i/>
        </w:rPr>
        <w:t xml:space="preserve">&amp; </w:t>
      </w:r>
      <w:r w:rsidR="00171584" w:rsidRPr="007066EA">
        <w:rPr>
          <w:i/>
        </w:rPr>
        <w:t xml:space="preserve">Stefan </w:t>
      </w:r>
      <w:proofErr w:type="spellStart"/>
      <w:r w:rsidR="00171584" w:rsidRPr="007066EA">
        <w:rPr>
          <w:i/>
        </w:rPr>
        <w:t>Wiemer</w:t>
      </w:r>
      <w:proofErr w:type="spellEnd"/>
    </w:p>
    <w:p w14:paraId="2F50D747" w14:textId="77777777" w:rsidR="00A44017" w:rsidRPr="007066EA" w:rsidRDefault="00A44017" w:rsidP="00A44017">
      <w:pPr>
        <w:jc w:val="center"/>
        <w:rPr>
          <w:i/>
          <w:lang w:val="en-CA"/>
        </w:rPr>
      </w:pPr>
    </w:p>
    <w:p w14:paraId="4B5F8BBE" w14:textId="0D721D8B" w:rsidR="00A44017" w:rsidRPr="007066EA" w:rsidRDefault="00A44017" w:rsidP="00A44017">
      <w:pPr>
        <w:spacing w:line="480" w:lineRule="auto"/>
        <w:jc w:val="center"/>
      </w:pPr>
      <w:r w:rsidRPr="007066EA">
        <w:t>Correspondence to Ryan Schultz (</w:t>
      </w:r>
      <w:r w:rsidR="005A510D" w:rsidRPr="007066EA">
        <w:t>Ryan.Schultz</w:t>
      </w:r>
      <w:r w:rsidRPr="007066EA">
        <w:t>@</w:t>
      </w:r>
      <w:r w:rsidR="005A510D" w:rsidRPr="007066EA">
        <w:t>sed.ethz.ch</w:t>
      </w:r>
      <w:r w:rsidRPr="007066EA">
        <w:t>)</w:t>
      </w:r>
    </w:p>
    <w:p w14:paraId="2B80E6C5" w14:textId="77777777" w:rsidR="00A44017" w:rsidRPr="007066EA" w:rsidRDefault="00A44017" w:rsidP="00A44017">
      <w:pPr>
        <w:spacing w:line="480" w:lineRule="auto"/>
        <w:jc w:val="center"/>
        <w:rPr>
          <w:b/>
        </w:rPr>
      </w:pPr>
    </w:p>
    <w:p w14:paraId="0B21D8E1" w14:textId="77777777" w:rsidR="00A44017" w:rsidRPr="007066EA" w:rsidRDefault="00A44017" w:rsidP="00A44017">
      <w:pPr>
        <w:rPr>
          <w:b/>
        </w:rPr>
      </w:pPr>
    </w:p>
    <w:p w14:paraId="2C89E3E4" w14:textId="52FA9726" w:rsidR="00A44017" w:rsidRPr="007066EA" w:rsidRDefault="00A44017" w:rsidP="00A44017">
      <w:pPr>
        <w:rPr>
          <w:b/>
        </w:rPr>
      </w:pPr>
      <w:r w:rsidRPr="007066EA">
        <w:rPr>
          <w:b/>
        </w:rPr>
        <w:t>This file includes:</w:t>
      </w:r>
    </w:p>
    <w:p w14:paraId="40F8657D" w14:textId="77777777" w:rsidR="00A44017" w:rsidRPr="007066EA" w:rsidRDefault="00A44017" w:rsidP="00A44017"/>
    <w:p w14:paraId="5D5981EB" w14:textId="0F15DE35" w:rsidR="00A44017" w:rsidRPr="007066EA" w:rsidRDefault="00A44017" w:rsidP="00A44017">
      <w:pPr>
        <w:ind w:left="720"/>
      </w:pPr>
      <w:r w:rsidRPr="007066EA">
        <w:t>Fig</w:t>
      </w:r>
      <w:r w:rsidR="007F783C" w:rsidRPr="007066EA">
        <w:t>ures</w:t>
      </w:r>
      <w:r w:rsidRPr="007066EA">
        <w:t xml:space="preserve"> S1</w:t>
      </w:r>
      <w:r w:rsidR="00D1100C" w:rsidRPr="007066EA">
        <w:t>-</w:t>
      </w:r>
      <w:r w:rsidRPr="007066EA">
        <w:t>S</w:t>
      </w:r>
      <w:r w:rsidR="00E84FC9">
        <w:t>12</w:t>
      </w:r>
    </w:p>
    <w:p w14:paraId="4DDA0D14" w14:textId="77777777" w:rsidR="00A44017" w:rsidRPr="007066EA" w:rsidRDefault="00A44017" w:rsidP="00A44017">
      <w:pPr>
        <w:spacing w:line="480" w:lineRule="auto"/>
        <w:jc w:val="center"/>
        <w:rPr>
          <w:b/>
        </w:rPr>
      </w:pPr>
    </w:p>
    <w:p w14:paraId="4134AA02" w14:textId="77777777" w:rsidR="00A44017" w:rsidRPr="007066EA" w:rsidRDefault="00A44017" w:rsidP="00A44017">
      <w:pPr>
        <w:rPr>
          <w:b/>
        </w:rPr>
      </w:pPr>
      <w:r w:rsidRPr="007066EA">
        <w:rPr>
          <w:b/>
        </w:rPr>
        <w:br w:type="page"/>
      </w:r>
    </w:p>
    <w:p w14:paraId="4594B166" w14:textId="5D292772" w:rsidR="00C97FFD" w:rsidRPr="007066EA" w:rsidRDefault="00C97FFD"/>
    <w:p w14:paraId="4AB6F200" w14:textId="35822B2F" w:rsidR="00000E28" w:rsidRPr="007066EA" w:rsidRDefault="00A44017">
      <w:pPr>
        <w:rPr>
          <w:b/>
        </w:rPr>
      </w:pPr>
      <w:r w:rsidRPr="007066EA">
        <w:rPr>
          <w:b/>
        </w:rPr>
        <w:t xml:space="preserve">Supplementary </w:t>
      </w:r>
      <w:r w:rsidR="00000E28" w:rsidRPr="007066EA">
        <w:rPr>
          <w:b/>
        </w:rPr>
        <w:t>Figures</w:t>
      </w:r>
    </w:p>
    <w:p w14:paraId="00612A4D" w14:textId="77777777" w:rsidR="00A53453" w:rsidRPr="007066EA" w:rsidRDefault="00A53453">
      <w:pPr>
        <w:rPr>
          <w:b/>
        </w:rPr>
      </w:pPr>
    </w:p>
    <w:p w14:paraId="755F5134" w14:textId="39AE814B" w:rsidR="004139B8" w:rsidRPr="007066EA" w:rsidRDefault="00306738" w:rsidP="00A53453">
      <w:pPr>
        <w:jc w:val="center"/>
        <w:rPr>
          <w:b/>
        </w:rPr>
      </w:pPr>
      <w:r w:rsidRPr="007066EA">
        <w:rPr>
          <w:b/>
          <w:noProof/>
        </w:rPr>
        <w:drawing>
          <wp:inline distT="0" distB="0" distL="0" distR="0" wp14:anchorId="76A2F1E9" wp14:editId="753538FA">
            <wp:extent cx="5895800" cy="6792138"/>
            <wp:effectExtent l="12700" t="12700" r="10160" b="1524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260" cy="67926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556517" w14:textId="77777777" w:rsidR="00A53453" w:rsidRPr="007066EA" w:rsidRDefault="00A53453" w:rsidP="00A21C33">
      <w:pPr>
        <w:jc w:val="both"/>
        <w:rPr>
          <w:b/>
        </w:rPr>
      </w:pPr>
    </w:p>
    <w:p w14:paraId="136119B3" w14:textId="110F2654" w:rsidR="00581709" w:rsidRPr="007066EA" w:rsidRDefault="001016B7" w:rsidP="00CD610C">
      <w:pPr>
        <w:jc w:val="both"/>
      </w:pPr>
      <w:r w:rsidRPr="007066EA">
        <w:rPr>
          <w:b/>
        </w:rPr>
        <w:t xml:space="preserve">Figure S1.  </w:t>
      </w:r>
      <w:r w:rsidR="00A722C4" w:rsidRPr="007066EA">
        <w:rPr>
          <w:b/>
        </w:rPr>
        <w:t>Formation</w:t>
      </w:r>
      <w:r w:rsidRPr="007066EA">
        <w:rPr>
          <w:b/>
        </w:rPr>
        <w:t xml:space="preserve"> depth</w:t>
      </w:r>
      <w:r w:rsidR="00B111BB" w:rsidRPr="007066EA">
        <w:rPr>
          <w:b/>
        </w:rPr>
        <w:t xml:space="preserve"> map</w:t>
      </w:r>
      <w:r w:rsidRPr="007066EA">
        <w:rPr>
          <w:b/>
        </w:rPr>
        <w:t xml:space="preserve"> for the </w:t>
      </w:r>
      <w:r w:rsidR="00A722C4" w:rsidRPr="007066EA">
        <w:rPr>
          <w:b/>
        </w:rPr>
        <w:t>UK</w:t>
      </w:r>
      <w:r w:rsidRPr="007066EA">
        <w:rPr>
          <w:b/>
        </w:rPr>
        <w:t xml:space="preserve">.  </w:t>
      </w:r>
      <w:r w:rsidR="00700A3B" w:rsidRPr="007066EA">
        <w:t xml:space="preserve">Depth contours </w:t>
      </w:r>
      <w:r w:rsidR="002E5ED0" w:rsidRPr="007066EA">
        <w:t xml:space="preserve">for </w:t>
      </w:r>
      <w:r w:rsidR="00A722C4" w:rsidRPr="007066EA">
        <w:t>the top of the HF target formations.</w:t>
      </w:r>
      <w:r w:rsidR="000B1CA8" w:rsidRPr="007066EA">
        <w:t xml:space="preserve">  Data is from </w:t>
      </w:r>
      <w:r w:rsidR="008E586C" w:rsidRPr="007066EA">
        <w:t>Limestone Coal Formation (</w:t>
      </w:r>
      <w:r w:rsidR="009D5AA0" w:rsidRPr="007066EA">
        <w:t>Carboniferous</w:t>
      </w:r>
      <w:r w:rsidR="008E586C" w:rsidRPr="007066EA">
        <w:t>)</w:t>
      </w:r>
      <w:r w:rsidR="000B1CA8" w:rsidRPr="007066EA">
        <w:t xml:space="preserve"> for the Midland Valley Basin [</w:t>
      </w:r>
      <w:r w:rsidR="008E586C" w:rsidRPr="007066EA">
        <w:t>Monaghan, 2014</w:t>
      </w:r>
      <w:r w:rsidR="000B1CA8" w:rsidRPr="007066EA">
        <w:t xml:space="preserve">], </w:t>
      </w:r>
      <w:r w:rsidR="005C2018" w:rsidRPr="007066EA">
        <w:t xml:space="preserve">the </w:t>
      </w:r>
      <w:r w:rsidR="000B1CA8" w:rsidRPr="007066EA">
        <w:t xml:space="preserve">Bowland Shale </w:t>
      </w:r>
      <w:r w:rsidR="00B4691A" w:rsidRPr="007066EA">
        <w:t>(</w:t>
      </w:r>
      <w:r w:rsidR="00442712" w:rsidRPr="007066EA">
        <w:t>Mississippian</w:t>
      </w:r>
      <w:r w:rsidR="00B4691A" w:rsidRPr="007066EA">
        <w:t xml:space="preserve">) </w:t>
      </w:r>
      <w:r w:rsidR="004B6DE2" w:rsidRPr="007066EA">
        <w:t xml:space="preserve">top </w:t>
      </w:r>
      <w:r w:rsidR="000B1CA8" w:rsidRPr="007066EA">
        <w:t>[</w:t>
      </w:r>
      <w:r w:rsidR="00E42DC5" w:rsidRPr="007066EA">
        <w:t>Andrews, 2013</w:t>
      </w:r>
      <w:r w:rsidR="000B1CA8" w:rsidRPr="007066EA">
        <w:t xml:space="preserve">], and </w:t>
      </w:r>
      <w:r w:rsidR="00E46EA6" w:rsidRPr="007066EA">
        <w:t xml:space="preserve">the Kimmeridge Clay (Upper Jurassic) top </w:t>
      </w:r>
      <w:r w:rsidR="000B1CA8" w:rsidRPr="007066EA">
        <w:t>for the Weald Basin [</w:t>
      </w:r>
      <w:r w:rsidR="003C3583" w:rsidRPr="007066EA">
        <w:t>Andrews, 2014</w:t>
      </w:r>
      <w:r w:rsidR="000B1CA8" w:rsidRPr="007066EA">
        <w:t>].</w:t>
      </w:r>
      <w:r w:rsidR="00581709" w:rsidRPr="007066EA">
        <w:rPr>
          <w:b/>
        </w:rPr>
        <w:br w:type="page"/>
      </w:r>
    </w:p>
    <w:p w14:paraId="4C37C01A" w14:textId="77777777" w:rsidR="00CA4745" w:rsidRPr="007066EA" w:rsidRDefault="00CA4745">
      <w:pPr>
        <w:rPr>
          <w:b/>
        </w:rPr>
      </w:pPr>
    </w:p>
    <w:p w14:paraId="0B33A75D" w14:textId="43130871" w:rsidR="00700A3B" w:rsidRPr="007066EA" w:rsidRDefault="00BD0727">
      <w:pPr>
        <w:rPr>
          <w:b/>
        </w:rPr>
      </w:pPr>
      <w:r w:rsidRPr="007066EA">
        <w:rPr>
          <w:b/>
          <w:noProof/>
        </w:rPr>
        <w:drawing>
          <wp:inline distT="0" distB="0" distL="0" distR="0" wp14:anchorId="5E0CFB90" wp14:editId="0D097789">
            <wp:extent cx="5943600" cy="6934200"/>
            <wp:effectExtent l="12700" t="12700" r="12700" b="1270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4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65BBB9" w14:textId="77777777" w:rsidR="00BD0727" w:rsidRPr="007066EA" w:rsidRDefault="00BD0727" w:rsidP="003F4354">
      <w:pPr>
        <w:jc w:val="both"/>
        <w:rPr>
          <w:b/>
        </w:rPr>
      </w:pPr>
    </w:p>
    <w:p w14:paraId="5CAFA509" w14:textId="621CC2B0" w:rsidR="00C6051F" w:rsidRPr="007066EA" w:rsidRDefault="00000E28" w:rsidP="003F4354">
      <w:pPr>
        <w:jc w:val="both"/>
        <w:rPr>
          <w:bCs/>
        </w:rPr>
      </w:pPr>
      <w:r w:rsidRPr="007066EA">
        <w:rPr>
          <w:b/>
        </w:rPr>
        <w:t xml:space="preserve">Figure </w:t>
      </w:r>
      <w:r w:rsidR="001016B7" w:rsidRPr="007066EA">
        <w:rPr>
          <w:b/>
        </w:rPr>
        <w:t>S2</w:t>
      </w:r>
      <w:r w:rsidRPr="007066EA">
        <w:rPr>
          <w:b/>
        </w:rPr>
        <w:t xml:space="preserve">. </w:t>
      </w:r>
      <w:r w:rsidR="001016B7" w:rsidRPr="007066EA">
        <w:rPr>
          <w:b/>
        </w:rPr>
        <w:t xml:space="preserve"> </w:t>
      </w:r>
      <w:r w:rsidR="00C6051F" w:rsidRPr="007066EA">
        <w:rPr>
          <w:b/>
        </w:rPr>
        <w:t xml:space="preserve">Site amplification map </w:t>
      </w:r>
      <w:r w:rsidR="001016B7" w:rsidRPr="007066EA">
        <w:rPr>
          <w:b/>
        </w:rPr>
        <w:t xml:space="preserve">of the </w:t>
      </w:r>
      <w:r w:rsidR="00A722C4" w:rsidRPr="007066EA">
        <w:rPr>
          <w:b/>
        </w:rPr>
        <w:t>UK</w:t>
      </w:r>
      <w:r w:rsidRPr="007066EA">
        <w:rPr>
          <w:b/>
        </w:rPr>
        <w:t xml:space="preserve">.  </w:t>
      </w:r>
      <w:r w:rsidR="00C6051F" w:rsidRPr="007066EA">
        <w:rPr>
          <w:bCs/>
        </w:rPr>
        <w:t>Larger map of V</w:t>
      </w:r>
      <w:r w:rsidR="00271792" w:rsidRPr="007066EA">
        <w:rPr>
          <w:bCs/>
          <w:vertAlign w:val="subscript"/>
        </w:rPr>
        <w:t>S</w:t>
      </w:r>
      <w:r w:rsidR="00C6051F" w:rsidRPr="007066EA">
        <w:rPr>
          <w:bCs/>
          <w:vertAlign w:val="subscript"/>
        </w:rPr>
        <w:t>30</w:t>
      </w:r>
      <w:r w:rsidR="00C6051F" w:rsidRPr="007066EA">
        <w:rPr>
          <w:bCs/>
        </w:rPr>
        <w:t>, a proxy for site amplification is shown</w:t>
      </w:r>
      <w:r w:rsidR="00AC4389" w:rsidRPr="007066EA">
        <w:rPr>
          <w:bCs/>
        </w:rPr>
        <w:t xml:space="preserve"> for the </w:t>
      </w:r>
      <w:r w:rsidR="006A55FF" w:rsidRPr="007066EA">
        <w:rPr>
          <w:bCs/>
        </w:rPr>
        <w:t>UK</w:t>
      </w:r>
      <w:r w:rsidR="00AC4389" w:rsidRPr="007066EA">
        <w:rPr>
          <w:bCs/>
        </w:rPr>
        <w:t xml:space="preserve"> (black line)</w:t>
      </w:r>
      <w:r w:rsidR="00C6051F" w:rsidRPr="007066EA">
        <w:rPr>
          <w:bCs/>
        </w:rPr>
        <w:t>.  Data is from a global V</w:t>
      </w:r>
      <w:r w:rsidR="00271792" w:rsidRPr="007066EA">
        <w:rPr>
          <w:bCs/>
          <w:vertAlign w:val="subscript"/>
        </w:rPr>
        <w:t>S</w:t>
      </w:r>
      <w:r w:rsidR="00C6051F" w:rsidRPr="007066EA">
        <w:rPr>
          <w:bCs/>
          <w:vertAlign w:val="subscript"/>
        </w:rPr>
        <w:t>30</w:t>
      </w:r>
      <w:r w:rsidR="00C6051F" w:rsidRPr="007066EA">
        <w:rPr>
          <w:bCs/>
        </w:rPr>
        <w:t xml:space="preserve"> compilation database [Heath et al., 2020].</w:t>
      </w:r>
    </w:p>
    <w:p w14:paraId="75B8F190" w14:textId="29AFE9F8" w:rsidR="00000E28" w:rsidRPr="007066EA" w:rsidRDefault="00000E28" w:rsidP="003F4354">
      <w:pPr>
        <w:jc w:val="both"/>
        <w:rPr>
          <w:b/>
        </w:rPr>
      </w:pPr>
    </w:p>
    <w:p w14:paraId="5AF1C67F" w14:textId="77777777" w:rsidR="00581709" w:rsidRPr="007066EA" w:rsidRDefault="00581709">
      <w:pPr>
        <w:rPr>
          <w:b/>
        </w:rPr>
      </w:pPr>
      <w:r w:rsidRPr="007066EA">
        <w:rPr>
          <w:b/>
        </w:rPr>
        <w:br w:type="page"/>
      </w:r>
    </w:p>
    <w:p w14:paraId="629D2EA3" w14:textId="77777777" w:rsidR="00CA4745" w:rsidRPr="007066EA" w:rsidRDefault="00CA4745" w:rsidP="00912FE0">
      <w:pPr>
        <w:jc w:val="both"/>
        <w:rPr>
          <w:b/>
        </w:rPr>
      </w:pPr>
    </w:p>
    <w:p w14:paraId="05ACFEB3" w14:textId="7017F84A" w:rsidR="00CA4745" w:rsidRPr="007066EA" w:rsidRDefault="00CA4745" w:rsidP="00912FE0">
      <w:pPr>
        <w:jc w:val="both"/>
        <w:rPr>
          <w:b/>
        </w:rPr>
      </w:pPr>
      <w:r w:rsidRPr="007066EA">
        <w:rPr>
          <w:b/>
          <w:noProof/>
        </w:rPr>
        <w:drawing>
          <wp:inline distT="0" distB="0" distL="0" distR="0" wp14:anchorId="3AEF0A46" wp14:editId="0BC85706">
            <wp:extent cx="5943600" cy="6737350"/>
            <wp:effectExtent l="12700" t="12700" r="12700" b="19050"/>
            <wp:docPr id="10" name="Picture 10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Map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37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C2392C" w14:textId="77777777" w:rsidR="00CA4745" w:rsidRPr="007066EA" w:rsidRDefault="00CA4745" w:rsidP="00912FE0">
      <w:pPr>
        <w:jc w:val="both"/>
        <w:rPr>
          <w:b/>
        </w:rPr>
      </w:pPr>
    </w:p>
    <w:p w14:paraId="33BBB1BF" w14:textId="58B3BF64" w:rsidR="00912FE0" w:rsidRPr="007066EA" w:rsidRDefault="00912FE0" w:rsidP="00912FE0">
      <w:pPr>
        <w:jc w:val="both"/>
        <w:rPr>
          <w:bCs/>
        </w:rPr>
      </w:pPr>
      <w:r w:rsidRPr="007066EA">
        <w:rPr>
          <w:b/>
        </w:rPr>
        <w:t xml:space="preserve">Figure S3.  Population density map for the </w:t>
      </w:r>
      <w:r w:rsidR="00A722C4" w:rsidRPr="007066EA">
        <w:rPr>
          <w:b/>
        </w:rPr>
        <w:t>UK</w:t>
      </w:r>
      <w:r w:rsidRPr="007066EA">
        <w:rPr>
          <w:b/>
        </w:rPr>
        <w:t xml:space="preserve">.  </w:t>
      </w:r>
      <w:r w:rsidRPr="007066EA">
        <w:rPr>
          <w:bCs/>
        </w:rPr>
        <w:t xml:space="preserve">Larger map of the local population is shown for the </w:t>
      </w:r>
      <w:r w:rsidR="00A722C4" w:rsidRPr="007066EA">
        <w:rPr>
          <w:bCs/>
        </w:rPr>
        <w:t>UK region and the HF plays (white polygons)</w:t>
      </w:r>
      <w:r w:rsidRPr="007066EA">
        <w:rPr>
          <w:bCs/>
        </w:rPr>
        <w:t xml:space="preserve">.  The black background denotes zero population areas.  Data is from the </w:t>
      </w:r>
      <w:proofErr w:type="spellStart"/>
      <w:r w:rsidRPr="007066EA">
        <w:rPr>
          <w:bCs/>
        </w:rPr>
        <w:t>LandScan</w:t>
      </w:r>
      <w:proofErr w:type="spellEnd"/>
      <w:r w:rsidRPr="007066EA">
        <w:rPr>
          <w:bCs/>
        </w:rPr>
        <w:t xml:space="preserve"> 2018 database [Rose et al., 2018].</w:t>
      </w:r>
    </w:p>
    <w:p w14:paraId="01A63378" w14:textId="77777777" w:rsidR="00912FE0" w:rsidRPr="007066EA" w:rsidRDefault="00912FE0" w:rsidP="004506C0">
      <w:pPr>
        <w:rPr>
          <w:b/>
        </w:rPr>
      </w:pPr>
    </w:p>
    <w:p w14:paraId="2DABB549" w14:textId="5184F2B4" w:rsidR="004E30E7" w:rsidRPr="007066EA" w:rsidRDefault="004E30E7">
      <w:pPr>
        <w:rPr>
          <w:b/>
        </w:rPr>
      </w:pPr>
      <w:r w:rsidRPr="007066EA">
        <w:rPr>
          <w:b/>
        </w:rPr>
        <w:br w:type="page"/>
      </w:r>
    </w:p>
    <w:p w14:paraId="549988C8" w14:textId="751604B9" w:rsidR="00B61D47" w:rsidRPr="007066EA" w:rsidRDefault="00AF1A81" w:rsidP="00F171BA">
      <w:pPr>
        <w:rPr>
          <w:b/>
        </w:rPr>
      </w:pPr>
      <w:r w:rsidRPr="007066EA">
        <w:rPr>
          <w:b/>
          <w:noProof/>
        </w:rPr>
        <w:lastRenderedPageBreak/>
        <w:drawing>
          <wp:inline distT="0" distB="0" distL="0" distR="0" wp14:anchorId="68C01894" wp14:editId="01C1100C">
            <wp:extent cx="5943600" cy="4220845"/>
            <wp:effectExtent l="0" t="0" r="0" b="0"/>
            <wp:docPr id="13" name="Picture 1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98508" w14:textId="77777777" w:rsidR="00AF1A81" w:rsidRPr="007066EA" w:rsidRDefault="00AF1A81" w:rsidP="00381311">
      <w:pPr>
        <w:jc w:val="both"/>
        <w:rPr>
          <w:b/>
        </w:rPr>
      </w:pPr>
    </w:p>
    <w:p w14:paraId="313EA3B9" w14:textId="61834569" w:rsidR="00F171BA" w:rsidRPr="007066EA" w:rsidRDefault="00F171BA" w:rsidP="00381311">
      <w:pPr>
        <w:jc w:val="both"/>
      </w:pPr>
      <w:r w:rsidRPr="007066EA">
        <w:rPr>
          <w:b/>
        </w:rPr>
        <w:t>Figure S</w:t>
      </w:r>
      <w:r w:rsidR="00AF1A81" w:rsidRPr="007066EA">
        <w:rPr>
          <w:b/>
        </w:rPr>
        <w:t>4</w:t>
      </w:r>
      <w:r w:rsidRPr="007066EA">
        <w:rPr>
          <w:b/>
        </w:rPr>
        <w:t xml:space="preserve">.  Nuisance, fragility, and vulnerability functions.  </w:t>
      </w:r>
      <w:r w:rsidR="00091717" w:rsidRPr="007066EA">
        <w:t>Chance of encountering risks are displayed as a function of ground motion (top row) and as a function of magnitude (bottom row) for</w:t>
      </w:r>
      <w:r w:rsidR="00DC18F8" w:rsidRPr="007066EA">
        <w:t xml:space="preserve"> an average earthquake at 3 km depth</w:t>
      </w:r>
      <w:r w:rsidR="009C6333" w:rsidRPr="007066EA">
        <w:t>,</w:t>
      </w:r>
      <w:r w:rsidR="00DC18F8" w:rsidRPr="007066EA">
        <w:t xml:space="preserve"> 5 km away</w:t>
      </w:r>
      <w:r w:rsidR="009C6333" w:rsidRPr="007066EA">
        <w:t>, and a V</w:t>
      </w:r>
      <w:r w:rsidR="00604DDE" w:rsidRPr="007066EA">
        <w:rPr>
          <w:vertAlign w:val="subscript"/>
        </w:rPr>
        <w:t>S</w:t>
      </w:r>
      <w:r w:rsidR="009C6333" w:rsidRPr="007066EA">
        <w:rPr>
          <w:vertAlign w:val="subscript"/>
        </w:rPr>
        <w:t>30</w:t>
      </w:r>
      <w:r w:rsidR="009C6333" w:rsidRPr="007066EA">
        <w:t xml:space="preserve"> of </w:t>
      </w:r>
      <w:r w:rsidR="008F4ECC" w:rsidRPr="007066EA">
        <w:t>300</w:t>
      </w:r>
      <w:r w:rsidR="009C6333" w:rsidRPr="007066EA">
        <w:t xml:space="preserve"> m/s</w:t>
      </w:r>
      <w:r w:rsidR="00554DAF" w:rsidRPr="007066EA">
        <w:t xml:space="preserve">.  </w:t>
      </w:r>
      <w:r w:rsidR="00381311" w:rsidRPr="007066EA">
        <w:t xml:space="preserve">The </w:t>
      </w:r>
      <w:r w:rsidR="00CB0F1F" w:rsidRPr="007066EA">
        <w:t>typical</w:t>
      </w:r>
      <w:r w:rsidR="00381311" w:rsidRPr="007066EA">
        <w:t xml:space="preserve"> probabilities (thick lines) are shown alongside a distribution of </w:t>
      </w:r>
      <w:r w:rsidR="00C12950" w:rsidRPr="007066EA">
        <w:t xml:space="preserve">100 </w:t>
      </w:r>
      <w:r w:rsidR="00381311" w:rsidRPr="007066EA">
        <w:t xml:space="preserve">perturbations (thin lines).  </w:t>
      </w:r>
      <w:r w:rsidR="00554DAF" w:rsidRPr="007066EA">
        <w:t>Nuisance functions are from Schultz et al. [</w:t>
      </w:r>
      <w:r w:rsidR="000F1607" w:rsidRPr="007066EA">
        <w:t>2021a</w:t>
      </w:r>
      <w:r w:rsidR="00554DAF" w:rsidRPr="007066EA">
        <w:t xml:space="preserve">], fragility functions are from </w:t>
      </w:r>
      <w:proofErr w:type="spellStart"/>
      <w:r w:rsidR="00C23571" w:rsidRPr="007066EA">
        <w:t>Korswagen</w:t>
      </w:r>
      <w:proofErr w:type="spellEnd"/>
      <w:r w:rsidR="00C23571" w:rsidRPr="007066EA">
        <w:t xml:space="preserve"> et al. [</w:t>
      </w:r>
      <w:r w:rsidR="00C76EED" w:rsidRPr="007066EA">
        <w:t>20</w:t>
      </w:r>
      <w:r w:rsidR="00C23571" w:rsidRPr="007066EA">
        <w:t>19</w:t>
      </w:r>
      <w:r w:rsidR="00554DAF" w:rsidRPr="007066EA">
        <w:t>],</w:t>
      </w:r>
      <w:r w:rsidR="00FC1B9F" w:rsidRPr="007066EA">
        <w:t xml:space="preserve"> </w:t>
      </w:r>
      <w:r w:rsidR="00554DAF" w:rsidRPr="007066EA">
        <w:t xml:space="preserve">vulnerability functions are from </w:t>
      </w:r>
      <w:r w:rsidR="000B639C" w:rsidRPr="007066EA">
        <w:t xml:space="preserve">Crowley &amp; </w:t>
      </w:r>
      <w:proofErr w:type="spellStart"/>
      <w:r w:rsidR="000B639C" w:rsidRPr="007066EA">
        <w:t>Pinho</w:t>
      </w:r>
      <w:proofErr w:type="spellEnd"/>
      <w:r w:rsidR="00554DAF" w:rsidRPr="007066EA">
        <w:t xml:space="preserve"> [</w:t>
      </w:r>
      <w:r w:rsidR="000B639C" w:rsidRPr="007066EA">
        <w:t>2020</w:t>
      </w:r>
      <w:r w:rsidR="00554DAF" w:rsidRPr="007066EA">
        <w:t>]</w:t>
      </w:r>
      <w:r w:rsidR="00FC1B9F" w:rsidRPr="007066EA">
        <w:t>, and t</w:t>
      </w:r>
      <w:r w:rsidR="00F33BE4" w:rsidRPr="007066EA">
        <w:t xml:space="preserve">he GMPE is from </w:t>
      </w:r>
      <w:r w:rsidR="008F4ECC" w:rsidRPr="007066EA">
        <w:t>Edwards</w:t>
      </w:r>
      <w:r w:rsidR="00F33BE4" w:rsidRPr="007066EA">
        <w:t xml:space="preserve"> et al. [</w:t>
      </w:r>
      <w:r w:rsidR="00820084" w:rsidRPr="007066EA">
        <w:t>2021</w:t>
      </w:r>
      <w:r w:rsidR="00F33BE4" w:rsidRPr="007066EA">
        <w:t>].</w:t>
      </w:r>
    </w:p>
    <w:p w14:paraId="040AC9FB" w14:textId="2CF346D3" w:rsidR="00447F78" w:rsidRPr="007066EA" w:rsidRDefault="00447F78" w:rsidP="00381311">
      <w:pPr>
        <w:jc w:val="both"/>
      </w:pPr>
    </w:p>
    <w:p w14:paraId="0BF0DFAD" w14:textId="32C1AD37" w:rsidR="00447F78" w:rsidRPr="007066EA" w:rsidRDefault="00447F78">
      <w:r w:rsidRPr="007066EA">
        <w:br w:type="page"/>
      </w:r>
    </w:p>
    <w:p w14:paraId="7BADA99B" w14:textId="2FCADB1E" w:rsidR="00447F78" w:rsidRPr="007066EA" w:rsidRDefault="0005724D" w:rsidP="00447F78">
      <w:pPr>
        <w:rPr>
          <w:b/>
        </w:rPr>
      </w:pPr>
      <w:r w:rsidRPr="007066EA">
        <w:rPr>
          <w:b/>
          <w:noProof/>
        </w:rPr>
        <w:lastRenderedPageBreak/>
        <w:drawing>
          <wp:inline distT="0" distB="0" distL="0" distR="0" wp14:anchorId="1444E92A" wp14:editId="71E28702">
            <wp:extent cx="5943600" cy="3417570"/>
            <wp:effectExtent l="0" t="0" r="0" b="0"/>
            <wp:docPr id="15" name="Picture 15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histogram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09EFC" w14:textId="77777777" w:rsidR="00447F78" w:rsidRPr="007066EA" w:rsidRDefault="00447F78" w:rsidP="00447F78">
      <w:pPr>
        <w:jc w:val="both"/>
        <w:rPr>
          <w:b/>
        </w:rPr>
      </w:pPr>
    </w:p>
    <w:p w14:paraId="5C2C9B68" w14:textId="77777777" w:rsidR="001E476F" w:rsidRPr="007066EA" w:rsidRDefault="00447F78" w:rsidP="00870B50">
      <w:pPr>
        <w:jc w:val="both"/>
      </w:pPr>
      <w:r w:rsidRPr="007066EA">
        <w:rPr>
          <w:b/>
        </w:rPr>
        <w:t>Figure S</w:t>
      </w:r>
      <w:r w:rsidR="0028097C" w:rsidRPr="007066EA">
        <w:rPr>
          <w:b/>
        </w:rPr>
        <w:t>5</w:t>
      </w:r>
      <w:r w:rsidRPr="007066EA">
        <w:rPr>
          <w:b/>
        </w:rPr>
        <w:t xml:space="preserve">.  </w:t>
      </w:r>
      <w:r w:rsidR="005372F6" w:rsidRPr="007066EA">
        <w:rPr>
          <w:b/>
        </w:rPr>
        <w:t xml:space="preserve">Comparison </w:t>
      </w:r>
      <w:r w:rsidR="00D961AE" w:rsidRPr="007066EA">
        <w:rPr>
          <w:b/>
        </w:rPr>
        <w:t>of</w:t>
      </w:r>
      <w:r w:rsidR="005372F6" w:rsidRPr="007066EA">
        <w:rPr>
          <w:b/>
        </w:rPr>
        <w:t xml:space="preserve"> vulnerability function</w:t>
      </w:r>
      <w:r w:rsidR="00870B50" w:rsidRPr="007066EA">
        <w:rPr>
          <w:b/>
        </w:rPr>
        <w:t xml:space="preserve">s.  </w:t>
      </w:r>
      <w:r w:rsidR="00870B50" w:rsidRPr="007066EA">
        <w:rPr>
          <w:bCs/>
        </w:rPr>
        <w:t xml:space="preserve">Here we </w:t>
      </w:r>
      <w:r w:rsidR="00F77B20" w:rsidRPr="007066EA">
        <w:rPr>
          <w:bCs/>
        </w:rPr>
        <w:t>compare the vulnerability function from the</w:t>
      </w:r>
      <w:r w:rsidR="005372F6" w:rsidRPr="007066EA">
        <w:rPr>
          <w:bCs/>
        </w:rPr>
        <w:t xml:space="preserve"> </w:t>
      </w:r>
      <w:r w:rsidR="00870B50" w:rsidRPr="007066EA">
        <w:rPr>
          <w:bCs/>
        </w:rPr>
        <w:t xml:space="preserve">Groningen </w:t>
      </w:r>
      <w:r w:rsidR="00F77B20" w:rsidRPr="007066EA">
        <w:rPr>
          <w:bCs/>
        </w:rPr>
        <w:t>[</w:t>
      </w:r>
      <w:r w:rsidR="00F77B20" w:rsidRPr="007066EA">
        <w:t xml:space="preserve">Crowley &amp; </w:t>
      </w:r>
      <w:proofErr w:type="spellStart"/>
      <w:r w:rsidR="00F77B20" w:rsidRPr="007066EA">
        <w:t>Pinho</w:t>
      </w:r>
      <w:proofErr w:type="spellEnd"/>
      <w:r w:rsidR="00F77B20" w:rsidRPr="007066EA">
        <w:t xml:space="preserve">, 2020] </w:t>
      </w:r>
      <w:r w:rsidR="00870B50" w:rsidRPr="007066EA">
        <w:rPr>
          <w:bCs/>
        </w:rPr>
        <w:t xml:space="preserve">against the ones from </w:t>
      </w:r>
      <w:r w:rsidR="00F77B20" w:rsidRPr="007066EA">
        <w:rPr>
          <w:bCs/>
        </w:rPr>
        <w:t xml:space="preserve">the USGS </w:t>
      </w:r>
      <w:r w:rsidR="0016390F" w:rsidRPr="007066EA">
        <w:rPr>
          <w:bCs/>
        </w:rPr>
        <w:t>PAGER</w:t>
      </w:r>
      <w:r w:rsidR="00F77B20" w:rsidRPr="007066EA">
        <w:rPr>
          <w:bCs/>
        </w:rPr>
        <w:t xml:space="preserve"> system [</w:t>
      </w:r>
      <w:r w:rsidR="00870B50" w:rsidRPr="007066EA">
        <w:t>Jaiswal et al., 2009; 2010].</w:t>
      </w:r>
      <w:r w:rsidR="009362FA" w:rsidRPr="007066EA">
        <w:t xml:space="preserve">  Ground motions are converted to Intensity via a conversion relationship [Caprio et al., 2015].</w:t>
      </w:r>
    </w:p>
    <w:p w14:paraId="1F116F51" w14:textId="77777777" w:rsidR="001E476F" w:rsidRPr="007066EA" w:rsidRDefault="001E476F" w:rsidP="00870B50">
      <w:pPr>
        <w:jc w:val="both"/>
      </w:pPr>
    </w:p>
    <w:p w14:paraId="0BCD3D34" w14:textId="3652BC60" w:rsidR="00091D86" w:rsidRPr="007066EA" w:rsidRDefault="00091D86" w:rsidP="00870B50">
      <w:pPr>
        <w:jc w:val="both"/>
        <w:rPr>
          <w:b/>
        </w:rPr>
      </w:pPr>
      <w:r w:rsidRPr="007066EA">
        <w:rPr>
          <w:bCs/>
        </w:rPr>
        <w:br w:type="page"/>
      </w:r>
    </w:p>
    <w:p w14:paraId="1F0FF263" w14:textId="77777777" w:rsidR="00710150" w:rsidRPr="007066EA" w:rsidRDefault="00710150" w:rsidP="005903A0">
      <w:pPr>
        <w:jc w:val="both"/>
        <w:rPr>
          <w:b/>
        </w:rPr>
      </w:pPr>
    </w:p>
    <w:p w14:paraId="07AF2605" w14:textId="720B00CB" w:rsidR="00710150" w:rsidRPr="007066EA" w:rsidRDefault="00710150" w:rsidP="005903A0">
      <w:pPr>
        <w:jc w:val="both"/>
        <w:rPr>
          <w:b/>
        </w:rPr>
      </w:pPr>
      <w:r w:rsidRPr="007066EA">
        <w:rPr>
          <w:b/>
          <w:noProof/>
        </w:rPr>
        <w:drawing>
          <wp:inline distT="0" distB="0" distL="0" distR="0" wp14:anchorId="15BAC88E" wp14:editId="153B376A">
            <wp:extent cx="5943600" cy="3775075"/>
            <wp:effectExtent l="0" t="0" r="0" b="0"/>
            <wp:docPr id="16" name="Picture 1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line 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C0791" w14:textId="77777777" w:rsidR="00D46B03" w:rsidRPr="007066EA" w:rsidRDefault="00D46B03" w:rsidP="005903A0">
      <w:pPr>
        <w:jc w:val="both"/>
        <w:rPr>
          <w:b/>
        </w:rPr>
      </w:pPr>
    </w:p>
    <w:p w14:paraId="4CA48E54" w14:textId="73301B16" w:rsidR="005903A0" w:rsidRPr="007066EA" w:rsidRDefault="005903A0" w:rsidP="005903A0">
      <w:pPr>
        <w:jc w:val="both"/>
      </w:pPr>
      <w:r w:rsidRPr="007066EA">
        <w:rPr>
          <w:b/>
        </w:rPr>
        <w:t>Figure S</w:t>
      </w:r>
      <w:r w:rsidR="002007EF" w:rsidRPr="007066EA">
        <w:rPr>
          <w:b/>
        </w:rPr>
        <w:t>6</w:t>
      </w:r>
      <w:r w:rsidRPr="007066EA">
        <w:rPr>
          <w:b/>
        </w:rPr>
        <w:t xml:space="preserve">.  Annual population trend for the </w:t>
      </w:r>
      <w:r w:rsidR="00F82EBB" w:rsidRPr="007066EA">
        <w:rPr>
          <w:b/>
        </w:rPr>
        <w:t>UK</w:t>
      </w:r>
      <w:r w:rsidRPr="007066EA">
        <w:rPr>
          <w:b/>
        </w:rPr>
        <w:t xml:space="preserve">.  </w:t>
      </w:r>
      <w:r w:rsidRPr="007066EA">
        <w:t xml:space="preserve">Annual </w:t>
      </w:r>
      <w:r w:rsidR="00F82EBB" w:rsidRPr="007066EA">
        <w:t xml:space="preserve">population </w:t>
      </w:r>
      <w:r w:rsidRPr="007066EA">
        <w:t xml:space="preserve">growth in the </w:t>
      </w:r>
      <w:r w:rsidR="00F82EBB" w:rsidRPr="007066EA">
        <w:t>UK</w:t>
      </w:r>
      <w:r w:rsidRPr="007066EA">
        <w:t xml:space="preserve"> (blue line) </w:t>
      </w:r>
      <w:r w:rsidR="00F82EBB" w:rsidRPr="007066EA">
        <w:t>is</w:t>
      </w:r>
      <w:r w:rsidRPr="007066EA">
        <w:t xml:space="preserve"> shown for the past three decades.  In 2018, there were </w:t>
      </w:r>
      <w:r w:rsidR="005B34DC" w:rsidRPr="007066EA">
        <w:t>67</w:t>
      </w:r>
      <w:r w:rsidRPr="007066EA">
        <w:t xml:space="preserve"> </w:t>
      </w:r>
      <w:r w:rsidR="005B34DC" w:rsidRPr="007066EA">
        <w:t>million</w:t>
      </w:r>
      <w:r w:rsidRPr="007066EA">
        <w:t xml:space="preserve"> people in the </w:t>
      </w:r>
      <w:r w:rsidR="005B34DC" w:rsidRPr="007066EA">
        <w:t>UK</w:t>
      </w:r>
      <w:r w:rsidRPr="007066EA">
        <w:t>.</w:t>
      </w:r>
      <w:r w:rsidR="00567EDA" w:rsidRPr="007066EA">
        <w:t xml:space="preserve">  Data is from an online database [</w:t>
      </w:r>
      <w:r w:rsidR="008C4E98" w:rsidRPr="007066EA">
        <w:t>UN-PD</w:t>
      </w:r>
      <w:r w:rsidR="00567EDA" w:rsidRPr="007066EA">
        <w:t>, 2023].</w:t>
      </w:r>
    </w:p>
    <w:p w14:paraId="181EBA81" w14:textId="77777777" w:rsidR="00091D86" w:rsidRPr="007066EA" w:rsidRDefault="00091D86" w:rsidP="001B443F">
      <w:pPr>
        <w:rPr>
          <w:bCs/>
        </w:rPr>
      </w:pPr>
    </w:p>
    <w:p w14:paraId="71191B68" w14:textId="7CFCE5E0" w:rsidR="00F171BA" w:rsidRPr="007066EA" w:rsidRDefault="001B443F" w:rsidP="00A44017">
      <w:pPr>
        <w:rPr>
          <w:bCs/>
        </w:rPr>
      </w:pPr>
      <w:r w:rsidRPr="007066EA">
        <w:rPr>
          <w:bCs/>
        </w:rPr>
        <w:br w:type="page"/>
      </w:r>
    </w:p>
    <w:p w14:paraId="79E5C14C" w14:textId="37E9D469" w:rsidR="005E1EA7" w:rsidRDefault="005E1EA7">
      <w:pPr>
        <w:rPr>
          <w:b/>
        </w:rPr>
      </w:pPr>
    </w:p>
    <w:p w14:paraId="0F7EE99E" w14:textId="4AD08AF9" w:rsidR="00054CD5" w:rsidRPr="007066EA" w:rsidRDefault="00932C98" w:rsidP="00054CD5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3D704674" wp14:editId="42338DF7">
            <wp:extent cx="5943600" cy="1272540"/>
            <wp:effectExtent l="0" t="0" r="0" b="0"/>
            <wp:docPr id="8" name="Picture 8" descr="A graph of a number of cdi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aph of a number of cdi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50AF9" w14:textId="77777777" w:rsidR="00054CD5" w:rsidRPr="007066EA" w:rsidRDefault="00054CD5" w:rsidP="00054CD5">
      <w:pPr>
        <w:jc w:val="both"/>
        <w:rPr>
          <w:b/>
        </w:rPr>
      </w:pPr>
    </w:p>
    <w:p w14:paraId="1212AB41" w14:textId="56216E0C" w:rsidR="00054CD5" w:rsidRPr="007066EA" w:rsidRDefault="00054CD5" w:rsidP="00054CD5">
      <w:pPr>
        <w:jc w:val="both"/>
      </w:pPr>
      <w:r w:rsidRPr="007066EA">
        <w:rPr>
          <w:b/>
        </w:rPr>
        <w:t>Figure S</w:t>
      </w:r>
      <w:r>
        <w:rPr>
          <w:b/>
        </w:rPr>
        <w:t>7</w:t>
      </w:r>
      <w:r w:rsidRPr="007066EA">
        <w:rPr>
          <w:b/>
        </w:rPr>
        <w:t xml:space="preserve">. </w:t>
      </w:r>
      <w:r>
        <w:rPr>
          <w:b/>
        </w:rPr>
        <w:t>PH</w:t>
      </w:r>
      <w:r w:rsidRPr="007066EA">
        <w:rPr>
          <w:b/>
        </w:rPr>
        <w:t>-1 earthquake impact scenarios.</w:t>
      </w:r>
      <w:r w:rsidRPr="007066EA">
        <w:t xml:space="preserve">  Comparison of risk metrics between the M</w:t>
      </w:r>
      <w:r w:rsidRPr="007066EA">
        <w:rPr>
          <w:vertAlign w:val="subscript"/>
        </w:rPr>
        <w:t>L</w:t>
      </w:r>
      <w:r w:rsidRPr="007066EA">
        <w:t xml:space="preserve"> </w:t>
      </w:r>
      <w:r w:rsidR="00051B35">
        <w:t>1.</w:t>
      </w:r>
      <w:r w:rsidRPr="007066EA">
        <w:t xml:space="preserve">2 </w:t>
      </w:r>
      <w:r w:rsidR="009F3F11">
        <w:t>5</w:t>
      </w:r>
      <w:r w:rsidRPr="007066EA">
        <w:t xml:space="preserve"> </w:t>
      </w:r>
      <w:r w:rsidR="009F3F11">
        <w:t>May</w:t>
      </w:r>
      <w:r w:rsidRPr="007066EA">
        <w:t xml:space="preserve"> 201</w:t>
      </w:r>
      <w:r w:rsidR="009F3F11">
        <w:t>1</w:t>
      </w:r>
      <w:r w:rsidRPr="007066EA">
        <w:t xml:space="preserve"> (</w:t>
      </w:r>
      <w:r w:rsidR="009F3F11">
        <w:t xml:space="preserve">darker </w:t>
      </w:r>
      <w:r w:rsidRPr="007066EA">
        <w:t>green bars), M</w:t>
      </w:r>
      <w:r w:rsidRPr="007066EA">
        <w:rPr>
          <w:vertAlign w:val="subscript"/>
        </w:rPr>
        <w:t>L</w:t>
      </w:r>
      <w:r w:rsidRPr="007066EA">
        <w:t xml:space="preserve"> </w:t>
      </w:r>
      <w:r w:rsidR="009F3F11">
        <w:t>1.4</w:t>
      </w:r>
      <w:r w:rsidRPr="007066EA">
        <w:t xml:space="preserve"> </w:t>
      </w:r>
      <w:r w:rsidR="009F3F11">
        <w:t>5</w:t>
      </w:r>
      <w:r w:rsidRPr="007066EA">
        <w:t xml:space="preserve"> </w:t>
      </w:r>
      <w:r w:rsidR="009F3F11">
        <w:t>May</w:t>
      </w:r>
      <w:r w:rsidRPr="007066EA">
        <w:t xml:space="preserve"> 201</w:t>
      </w:r>
      <w:r w:rsidR="009F3F11">
        <w:t>1</w:t>
      </w:r>
      <w:r w:rsidRPr="007066EA">
        <w:t xml:space="preserve"> (</w:t>
      </w:r>
      <w:r w:rsidR="009F3F11">
        <w:t>lighter green</w:t>
      </w:r>
      <w:r w:rsidRPr="007066EA">
        <w:t xml:space="preserve"> bars) and M</w:t>
      </w:r>
      <w:r w:rsidRPr="007066EA">
        <w:rPr>
          <w:vertAlign w:val="subscript"/>
        </w:rPr>
        <w:t>L</w:t>
      </w:r>
      <w:r w:rsidRPr="007066EA">
        <w:t xml:space="preserve"> </w:t>
      </w:r>
      <w:r w:rsidR="009F3F11">
        <w:t>2.</w:t>
      </w:r>
      <w:r w:rsidRPr="007066EA">
        <w:t xml:space="preserve">3 </w:t>
      </w:r>
      <w:r w:rsidR="009F3F11">
        <w:t>1</w:t>
      </w:r>
      <w:r w:rsidRPr="007066EA">
        <w:t xml:space="preserve"> </w:t>
      </w:r>
      <w:r w:rsidR="009F3F11">
        <w:t>April</w:t>
      </w:r>
      <w:r w:rsidRPr="007066EA">
        <w:t xml:space="preserve"> </w:t>
      </w:r>
      <w:r w:rsidR="009F3F11">
        <w:t>2011</w:t>
      </w:r>
      <w:r w:rsidRPr="007066EA">
        <w:t xml:space="preserve"> </w:t>
      </w:r>
      <w:r w:rsidR="00D9194D">
        <w:t>PH</w:t>
      </w:r>
      <w:r w:rsidRPr="007066EA">
        <w:t>-1 events (red bars) alongside 50</w:t>
      </w:r>
      <w:r w:rsidRPr="007066EA">
        <w:rPr>
          <w:vertAlign w:val="superscript"/>
        </w:rPr>
        <w:t>th</w:t>
      </w:r>
      <w:r w:rsidRPr="007066EA">
        <w:t xml:space="preserve"> percentile estimated tolerances for risk (dashed lines).  Risk metrics of nuisance (a-c) and damage (d) are considered.  Plot is analogous to Figure 6.</w:t>
      </w:r>
    </w:p>
    <w:p w14:paraId="208686CE" w14:textId="63EE4B53" w:rsidR="00054CD5" w:rsidRDefault="00054CD5">
      <w:pPr>
        <w:rPr>
          <w:b/>
        </w:rPr>
      </w:pPr>
      <w:r>
        <w:rPr>
          <w:b/>
        </w:rPr>
        <w:br w:type="page"/>
      </w:r>
    </w:p>
    <w:p w14:paraId="47CC9BB9" w14:textId="77777777" w:rsidR="00054CD5" w:rsidRPr="007066EA" w:rsidRDefault="00054CD5">
      <w:pPr>
        <w:rPr>
          <w:b/>
        </w:rPr>
      </w:pPr>
    </w:p>
    <w:p w14:paraId="6BFC47C9" w14:textId="58FEEB62" w:rsidR="00D46B03" w:rsidRPr="007066EA" w:rsidRDefault="002F4484" w:rsidP="00FC444E">
      <w:pPr>
        <w:jc w:val="both"/>
        <w:rPr>
          <w:b/>
        </w:rPr>
      </w:pPr>
      <w:r w:rsidRPr="007066EA">
        <w:rPr>
          <w:b/>
          <w:noProof/>
        </w:rPr>
        <w:drawing>
          <wp:inline distT="0" distB="0" distL="0" distR="0" wp14:anchorId="4698EE0F" wp14:editId="186EA2A1">
            <wp:extent cx="5943600" cy="1516380"/>
            <wp:effectExtent l="0" t="0" r="0" b="0"/>
            <wp:docPr id="2" name="Picture 2" descr="A comparison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omparison of a graph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0B36C" w14:textId="77777777" w:rsidR="00D46B03" w:rsidRPr="007066EA" w:rsidRDefault="00D46B03" w:rsidP="00FC444E">
      <w:pPr>
        <w:jc w:val="both"/>
        <w:rPr>
          <w:b/>
        </w:rPr>
      </w:pPr>
    </w:p>
    <w:p w14:paraId="22F3674A" w14:textId="697EE320" w:rsidR="00FC444E" w:rsidRPr="007066EA" w:rsidRDefault="005E1EA7" w:rsidP="00FC444E">
      <w:pPr>
        <w:jc w:val="both"/>
      </w:pPr>
      <w:r w:rsidRPr="007066EA">
        <w:rPr>
          <w:b/>
        </w:rPr>
        <w:t>Figure S</w:t>
      </w:r>
      <w:r w:rsidR="00DA0B3A">
        <w:rPr>
          <w:b/>
        </w:rPr>
        <w:t>8</w:t>
      </w:r>
      <w:r w:rsidRPr="007066EA">
        <w:rPr>
          <w:b/>
        </w:rPr>
        <w:t xml:space="preserve">. </w:t>
      </w:r>
      <w:r w:rsidR="006A5ADC" w:rsidRPr="007066EA">
        <w:rPr>
          <w:b/>
        </w:rPr>
        <w:t>HH-1 e</w:t>
      </w:r>
      <w:r w:rsidR="00FC444E" w:rsidRPr="007066EA">
        <w:rPr>
          <w:b/>
        </w:rPr>
        <w:t>arthquake impact scenarios.</w:t>
      </w:r>
      <w:r w:rsidR="00FC444E" w:rsidRPr="007066EA">
        <w:t xml:space="preserve">  </w:t>
      </w:r>
      <w:r w:rsidR="00B37111" w:rsidRPr="007066EA">
        <w:t>Comparison of risk metrics between the M</w:t>
      </w:r>
      <w:r w:rsidR="00B37111" w:rsidRPr="007066EA">
        <w:rPr>
          <w:vertAlign w:val="subscript"/>
        </w:rPr>
        <w:t>L</w:t>
      </w:r>
      <w:r w:rsidR="00B37111" w:rsidRPr="007066EA">
        <w:t xml:space="preserve"> </w:t>
      </w:r>
      <w:r w:rsidR="00BF5363" w:rsidRPr="007066EA">
        <w:t>2</w:t>
      </w:r>
      <w:r w:rsidR="00B37111" w:rsidRPr="007066EA">
        <w:t>.</w:t>
      </w:r>
      <w:r w:rsidR="00BF5363" w:rsidRPr="007066EA">
        <w:t>5 18 June 2018</w:t>
      </w:r>
      <w:r w:rsidR="00B37111" w:rsidRPr="007066EA">
        <w:t xml:space="preserve"> (green bars), M</w:t>
      </w:r>
      <w:r w:rsidR="00B37111" w:rsidRPr="007066EA">
        <w:rPr>
          <w:vertAlign w:val="subscript"/>
        </w:rPr>
        <w:t>L</w:t>
      </w:r>
      <w:r w:rsidR="00B37111" w:rsidRPr="007066EA">
        <w:t xml:space="preserve"> 2.</w:t>
      </w:r>
      <w:r w:rsidR="00FC5A3C" w:rsidRPr="007066EA">
        <w:t>5 1 April 2018</w:t>
      </w:r>
      <w:r w:rsidR="00B37111" w:rsidRPr="007066EA">
        <w:t xml:space="preserve"> (orange bars) and M</w:t>
      </w:r>
      <w:r w:rsidR="00B37111" w:rsidRPr="007066EA">
        <w:rPr>
          <w:vertAlign w:val="subscript"/>
        </w:rPr>
        <w:t>L</w:t>
      </w:r>
      <w:r w:rsidR="00B37111" w:rsidRPr="007066EA">
        <w:t xml:space="preserve"> </w:t>
      </w:r>
      <w:r w:rsidR="00E81393" w:rsidRPr="007066EA">
        <w:t>3</w:t>
      </w:r>
      <w:r w:rsidR="00B37111" w:rsidRPr="007066EA">
        <w:t>.</w:t>
      </w:r>
      <w:r w:rsidR="00E81393" w:rsidRPr="007066EA">
        <w:t xml:space="preserve">0 </w:t>
      </w:r>
      <w:r w:rsidR="00BE323C" w:rsidRPr="007066EA">
        <w:t xml:space="preserve">5 July 2018 </w:t>
      </w:r>
      <w:r w:rsidR="00E81393" w:rsidRPr="007066EA">
        <w:t>(M</w:t>
      </w:r>
      <w:r w:rsidR="00E81393" w:rsidRPr="007066EA">
        <w:rPr>
          <w:vertAlign w:val="subscript"/>
        </w:rPr>
        <w:t>L</w:t>
      </w:r>
      <w:r w:rsidR="00E81393" w:rsidRPr="007066EA">
        <w:t xml:space="preserve"> 3.2 </w:t>
      </w:r>
      <w:r w:rsidR="00BE323C" w:rsidRPr="007066EA">
        <w:t>27 February 2019</w:t>
      </w:r>
      <w:r w:rsidR="00E81393" w:rsidRPr="007066EA">
        <w:t>)</w:t>
      </w:r>
      <w:r w:rsidR="00B37111" w:rsidRPr="007066EA">
        <w:t xml:space="preserve"> </w:t>
      </w:r>
      <w:r w:rsidR="009E5C8B" w:rsidRPr="007066EA">
        <w:t>HH</w:t>
      </w:r>
      <w:r w:rsidR="00B37111" w:rsidRPr="007066EA">
        <w:t>-</w:t>
      </w:r>
      <w:r w:rsidR="009E5C8B" w:rsidRPr="007066EA">
        <w:t>1</w:t>
      </w:r>
      <w:r w:rsidR="00B37111" w:rsidRPr="007066EA">
        <w:t xml:space="preserve"> events (red bars) alongside 50</w:t>
      </w:r>
      <w:r w:rsidR="00B37111" w:rsidRPr="007066EA">
        <w:rPr>
          <w:vertAlign w:val="superscript"/>
        </w:rPr>
        <w:t>th</w:t>
      </w:r>
      <w:r w:rsidR="00B37111" w:rsidRPr="007066EA">
        <w:t xml:space="preserve"> percentile estimated tolerances for risk (dashed lines).  Risk metrics of nuisance (a-c) and damage (d) are considered</w:t>
      </w:r>
      <w:r w:rsidR="00FC444E" w:rsidRPr="007066EA">
        <w:t>.</w:t>
      </w:r>
      <w:r w:rsidR="00B37111" w:rsidRPr="007066EA">
        <w:t xml:space="preserve">  </w:t>
      </w:r>
      <w:r w:rsidR="00BF4584" w:rsidRPr="007066EA">
        <w:t xml:space="preserve">Plot is analogous to Figure </w:t>
      </w:r>
      <w:r w:rsidR="00CB7A34" w:rsidRPr="007066EA">
        <w:t>6</w:t>
      </w:r>
      <w:r w:rsidR="00BF4584" w:rsidRPr="007066EA">
        <w:t>.</w:t>
      </w:r>
    </w:p>
    <w:p w14:paraId="10D70659" w14:textId="77777777" w:rsidR="0057255B" w:rsidRPr="007066EA" w:rsidRDefault="0057255B" w:rsidP="00FC444E">
      <w:pPr>
        <w:jc w:val="both"/>
      </w:pPr>
    </w:p>
    <w:p w14:paraId="6DC89426" w14:textId="2B5CFC03" w:rsidR="0073231C" w:rsidRPr="007066EA" w:rsidRDefault="0073231C">
      <w:pPr>
        <w:rPr>
          <w:b/>
        </w:rPr>
      </w:pPr>
      <w:r w:rsidRPr="007066EA">
        <w:rPr>
          <w:b/>
        </w:rPr>
        <w:br w:type="page"/>
      </w:r>
    </w:p>
    <w:p w14:paraId="293CBAB2" w14:textId="7B10A5F5" w:rsidR="008B3F68" w:rsidRPr="007066EA" w:rsidRDefault="008B3F68" w:rsidP="00A44017">
      <w:pPr>
        <w:rPr>
          <w:b/>
        </w:rPr>
      </w:pPr>
    </w:p>
    <w:p w14:paraId="2F38FE6F" w14:textId="72F34F05" w:rsidR="0073231C" w:rsidRPr="007066EA" w:rsidRDefault="00040FBD" w:rsidP="00A44017">
      <w:pPr>
        <w:rPr>
          <w:b/>
          <w:lang w:val="fr-CH"/>
        </w:rPr>
      </w:pPr>
      <w:r w:rsidRPr="007066EA">
        <w:rPr>
          <w:b/>
          <w:noProof/>
          <w:lang w:val="fr-CH"/>
        </w:rPr>
        <w:drawing>
          <wp:inline distT="0" distB="0" distL="0" distR="0" wp14:anchorId="7B2B62FB" wp14:editId="24A99039">
            <wp:extent cx="5943600" cy="5445125"/>
            <wp:effectExtent l="12700" t="12700" r="12700" b="15875"/>
            <wp:docPr id="5" name="Picture 5" descr="A picture containing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screensho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5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14B54A" w14:textId="77777777" w:rsidR="00D46B03" w:rsidRPr="007066EA" w:rsidRDefault="00D46B03" w:rsidP="000B47A0">
      <w:pPr>
        <w:jc w:val="both"/>
        <w:rPr>
          <w:b/>
          <w:lang w:val="fr-CH"/>
        </w:rPr>
      </w:pPr>
    </w:p>
    <w:p w14:paraId="12CA6DCC" w14:textId="732767A5" w:rsidR="000B47A0" w:rsidRPr="007066EA" w:rsidRDefault="0073231C" w:rsidP="000B47A0">
      <w:pPr>
        <w:jc w:val="both"/>
        <w:rPr>
          <w:b/>
        </w:rPr>
      </w:pPr>
      <w:r w:rsidRPr="007066EA">
        <w:rPr>
          <w:b/>
        </w:rPr>
        <w:t>Figure S</w:t>
      </w:r>
      <w:r w:rsidR="006A71C9">
        <w:rPr>
          <w:b/>
        </w:rPr>
        <w:t>9</w:t>
      </w:r>
      <w:r w:rsidRPr="007066EA">
        <w:rPr>
          <w:b/>
        </w:rPr>
        <w:t>. Iso-nuisance combination maps.</w:t>
      </w:r>
      <w:r w:rsidRPr="007066EA">
        <w:rPr>
          <w:bCs/>
        </w:rPr>
        <w:t xml:space="preserve">  </w:t>
      </w:r>
      <w:r w:rsidR="00670FAA" w:rsidRPr="007066EA">
        <w:rPr>
          <w:bCs/>
        </w:rPr>
        <w:t xml:space="preserve">Plots of </w:t>
      </w:r>
      <w:r w:rsidR="00670FAA" w:rsidRPr="007066EA">
        <w:t>i</w:t>
      </w:r>
      <w:r w:rsidR="000B47A0" w:rsidRPr="007066EA">
        <w:t>so-nuisance maps</w:t>
      </w:r>
      <w:r w:rsidR="00670FAA" w:rsidRPr="007066EA">
        <w:t xml:space="preserve"> based on</w:t>
      </w:r>
      <w:r w:rsidR="000B47A0" w:rsidRPr="007066EA">
        <w:t xml:space="preserve"> </w:t>
      </w:r>
      <w:r w:rsidR="00670FAA" w:rsidRPr="007066EA">
        <w:t>empirically derived CDI 2-4 nuisance</w:t>
      </w:r>
      <w:r w:rsidR="000B47A0" w:rsidRPr="007066EA">
        <w:t xml:space="preserve"> tolerances (</w:t>
      </w:r>
      <w:r w:rsidR="00C82DF9" w:rsidRPr="007066EA">
        <w:t xml:space="preserve">panels on </w:t>
      </w:r>
      <w:r w:rsidR="000B47A0" w:rsidRPr="007066EA">
        <w:t>top row).  These three iso-nuisance maps are combined by taking the minimum red-light value at each grid point</w:t>
      </w:r>
      <w:r w:rsidR="00C82DF9" w:rsidRPr="007066EA">
        <w:t xml:space="preserve"> (bottom left</w:t>
      </w:r>
      <w:r w:rsidR="00C57801" w:rsidRPr="007066EA">
        <w:t xml:space="preserve"> panel</w:t>
      </w:r>
      <w:r w:rsidR="00C82DF9" w:rsidRPr="007066EA">
        <w:t>)</w:t>
      </w:r>
      <w:r w:rsidR="000B47A0" w:rsidRPr="007066EA">
        <w:t>.</w:t>
      </w:r>
      <w:r w:rsidR="000921A8" w:rsidRPr="007066EA">
        <w:t xml:space="preserve">  The controlling nuisance degree is shown</w:t>
      </w:r>
      <w:r w:rsidR="000B47A0" w:rsidRPr="007066EA">
        <w:t xml:space="preserve"> for each grid point</w:t>
      </w:r>
      <w:r w:rsidR="000921A8" w:rsidRPr="007066EA">
        <w:t xml:space="preserve"> (bottom right panel)</w:t>
      </w:r>
      <w:r w:rsidR="000B47A0" w:rsidRPr="007066EA">
        <w:t>.</w:t>
      </w:r>
    </w:p>
    <w:p w14:paraId="728664F5" w14:textId="39688607" w:rsidR="0073231C" w:rsidRPr="007066EA" w:rsidRDefault="0073231C" w:rsidP="00A44017">
      <w:pPr>
        <w:rPr>
          <w:bCs/>
        </w:rPr>
      </w:pPr>
    </w:p>
    <w:p w14:paraId="79EA86E4" w14:textId="3545DC8E" w:rsidR="00693FC1" w:rsidRPr="007066EA" w:rsidRDefault="00693FC1">
      <w:pPr>
        <w:rPr>
          <w:bCs/>
        </w:rPr>
      </w:pPr>
      <w:r w:rsidRPr="007066EA">
        <w:rPr>
          <w:bCs/>
        </w:rPr>
        <w:br w:type="page"/>
      </w:r>
    </w:p>
    <w:p w14:paraId="336596F2" w14:textId="77777777" w:rsidR="00F66167" w:rsidRPr="00E84FC9" w:rsidRDefault="00F66167" w:rsidP="00693FC1">
      <w:pPr>
        <w:rPr>
          <w:b/>
        </w:rPr>
      </w:pPr>
    </w:p>
    <w:p w14:paraId="0ED20CC3" w14:textId="3AA6FDDB" w:rsidR="00693FC1" w:rsidRPr="007066EA" w:rsidRDefault="0047719C" w:rsidP="00693FC1">
      <w:pPr>
        <w:rPr>
          <w:b/>
          <w:lang w:val="fr-CH"/>
        </w:rPr>
      </w:pPr>
      <w:r w:rsidRPr="007066EA">
        <w:rPr>
          <w:b/>
          <w:noProof/>
          <w:lang w:val="fr-CH"/>
        </w:rPr>
        <w:drawing>
          <wp:inline distT="0" distB="0" distL="0" distR="0" wp14:anchorId="38EFFAFE" wp14:editId="26546764">
            <wp:extent cx="5943600" cy="6771005"/>
            <wp:effectExtent l="12700" t="12700" r="12700" b="10795"/>
            <wp:docPr id="6" name="Picture 6" descr="A picture containing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screenshot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710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CA80E2" w14:textId="77777777" w:rsidR="00D46B03" w:rsidRPr="007066EA" w:rsidRDefault="00D46B03" w:rsidP="00693FC1">
      <w:pPr>
        <w:jc w:val="both"/>
        <w:rPr>
          <w:b/>
        </w:rPr>
      </w:pPr>
    </w:p>
    <w:p w14:paraId="2B404612" w14:textId="77BFE032" w:rsidR="00693FC1" w:rsidRDefault="00693FC1" w:rsidP="00693FC1">
      <w:pPr>
        <w:jc w:val="both"/>
      </w:pPr>
      <w:r w:rsidRPr="007066EA">
        <w:rPr>
          <w:b/>
        </w:rPr>
        <w:t>Figure S</w:t>
      </w:r>
      <w:r w:rsidR="006A71C9">
        <w:rPr>
          <w:b/>
        </w:rPr>
        <w:t>10</w:t>
      </w:r>
      <w:r w:rsidRPr="007066EA">
        <w:rPr>
          <w:b/>
        </w:rPr>
        <w:t>. Iso-damage combination maps.</w:t>
      </w:r>
      <w:r w:rsidRPr="007066EA">
        <w:rPr>
          <w:bCs/>
        </w:rPr>
        <w:t xml:space="preserve">  Plots of </w:t>
      </w:r>
      <w:r w:rsidRPr="007066EA">
        <w:t>iso-damage maps based on empirically derived DS 1-2 damage tolerances (panels on top row).  These two iso-damage maps are combined by taking the minimum red-light value at each grid point (bottom left panel).  The controlling damage state is shown for each grid point (bottom right panel).</w:t>
      </w:r>
    </w:p>
    <w:p w14:paraId="6E11E572" w14:textId="3F9C3AEE" w:rsidR="00F66167" w:rsidRDefault="00F66167">
      <w:r>
        <w:br w:type="page"/>
      </w:r>
    </w:p>
    <w:p w14:paraId="678D8151" w14:textId="4AC1A30D" w:rsidR="00F66167" w:rsidRDefault="00F66167" w:rsidP="00693FC1">
      <w:pPr>
        <w:jc w:val="both"/>
        <w:rPr>
          <w:b/>
        </w:rPr>
      </w:pPr>
    </w:p>
    <w:p w14:paraId="542AF3A6" w14:textId="6B25CB3B" w:rsidR="00693FC1" w:rsidRDefault="00F66167" w:rsidP="00A44017">
      <w:pPr>
        <w:rPr>
          <w:bCs/>
        </w:rPr>
      </w:pPr>
      <w:r>
        <w:rPr>
          <w:bCs/>
          <w:noProof/>
        </w:rPr>
        <w:drawing>
          <wp:inline distT="0" distB="0" distL="0" distR="0" wp14:anchorId="23F28DA6" wp14:editId="54FA62B5">
            <wp:extent cx="5943600" cy="4704080"/>
            <wp:effectExtent l="12700" t="12700" r="12700" b="7620"/>
            <wp:docPr id="3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graph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40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0C9881" w14:textId="77777777" w:rsidR="00F66167" w:rsidRDefault="00F66167" w:rsidP="00A44017">
      <w:pPr>
        <w:rPr>
          <w:bCs/>
        </w:rPr>
      </w:pPr>
    </w:p>
    <w:p w14:paraId="114FFFD6" w14:textId="645C8C35" w:rsidR="00F66167" w:rsidRDefault="00F66167" w:rsidP="00F66167">
      <w:pPr>
        <w:jc w:val="both"/>
        <w:rPr>
          <w:bCs/>
        </w:rPr>
      </w:pPr>
      <w:r>
        <w:rPr>
          <w:b/>
        </w:rPr>
        <w:t xml:space="preserve">Figure S11. The proposed TLP retrospectively applied to PNR-1z.  </w:t>
      </w:r>
      <w:r>
        <w:rPr>
          <w:bCs/>
        </w:rPr>
        <w:t>Stimulation operations (black lines) for individual stages (text labels) are shown alongside the induced earthquakes (blue circles) and our proposed TLP thresholds (</w:t>
      </w:r>
      <w:r w:rsidR="00D93BA9">
        <w:rPr>
          <w:bCs/>
        </w:rPr>
        <w:t>solid-coloured</w:t>
      </w:r>
      <w:r>
        <w:rPr>
          <w:bCs/>
        </w:rPr>
        <w:t xml:space="preserve"> lines)</w:t>
      </w:r>
      <w:r w:rsidRPr="003D0D34">
        <w:rPr>
          <w:bCs/>
        </w:rPr>
        <w:t>.</w:t>
      </w:r>
      <w:r>
        <w:rPr>
          <w:bCs/>
        </w:rPr>
        <w:t xml:space="preserve">  </w:t>
      </w:r>
      <w:r w:rsidR="00780264">
        <w:rPr>
          <w:bCs/>
        </w:rPr>
        <w:t>Purple lines</w:t>
      </w:r>
      <w:r>
        <w:rPr>
          <w:bCs/>
        </w:rPr>
        <w:t xml:space="preserve"> </w:t>
      </w:r>
      <w:r w:rsidR="00780264">
        <w:rPr>
          <w:bCs/>
        </w:rPr>
        <w:t xml:space="preserve">approximately </w:t>
      </w:r>
      <w:r>
        <w:rPr>
          <w:bCs/>
        </w:rPr>
        <w:t xml:space="preserve">indicate </w:t>
      </w:r>
      <w:r w:rsidR="00780264">
        <w:rPr>
          <w:bCs/>
        </w:rPr>
        <w:t>how</w:t>
      </w:r>
      <w:r>
        <w:rPr>
          <w:bCs/>
        </w:rPr>
        <w:t xml:space="preserve"> an adaptive TLP would </w:t>
      </w:r>
      <w:r w:rsidR="00780264">
        <w:rPr>
          <w:bCs/>
        </w:rPr>
        <w:t>change</w:t>
      </w:r>
      <w:r>
        <w:rPr>
          <w:bCs/>
        </w:rPr>
        <w:t xml:space="preserve"> with time, based on catalogued data</w:t>
      </w:r>
      <w:r w:rsidR="00780264">
        <w:rPr>
          <w:bCs/>
        </w:rPr>
        <w:t xml:space="preserve"> from the previous stage stimulation</w:t>
      </w:r>
      <w:r>
        <w:rPr>
          <w:bCs/>
        </w:rPr>
        <w:t xml:space="preserve">.  </w:t>
      </w:r>
      <w:r w:rsidR="007B582D">
        <w:rPr>
          <w:bCs/>
        </w:rPr>
        <w:t xml:space="preserve">The proposed red-light (both adaptive and static) would not have been triggered for the PNR-1z case.  </w:t>
      </w:r>
      <w:r>
        <w:rPr>
          <w:bCs/>
        </w:rPr>
        <w:t>Red-light moment magnitudes were estimated using an M</w:t>
      </w:r>
      <w:r w:rsidRPr="004F1926">
        <w:rPr>
          <w:bCs/>
          <w:vertAlign w:val="subscript"/>
        </w:rPr>
        <w:t>L</w:t>
      </w:r>
      <w:r>
        <w:rPr>
          <w:bCs/>
        </w:rPr>
        <w:t>-M</w:t>
      </w:r>
      <w:r w:rsidRPr="004F1926">
        <w:rPr>
          <w:bCs/>
          <w:vertAlign w:val="subscript"/>
        </w:rPr>
        <w:t>W</w:t>
      </w:r>
      <w:r>
        <w:rPr>
          <w:bCs/>
        </w:rPr>
        <w:t xml:space="preserve"> conversion relationship [Edwards et al., 2021].</w:t>
      </w:r>
      <w:r w:rsidR="00C8383C">
        <w:rPr>
          <w:bCs/>
        </w:rPr>
        <w:t xml:space="preserve">  </w:t>
      </w:r>
      <w:r w:rsidR="00BF30FA">
        <w:rPr>
          <w:bCs/>
        </w:rPr>
        <w:t xml:space="preserve">Top panel contains the first half of stage stimulations, bottom panel contains the second half.  </w:t>
      </w:r>
      <w:r w:rsidR="00C8383C">
        <w:rPr>
          <w:bCs/>
        </w:rPr>
        <w:t>Plot is analogous to Figure 10.</w:t>
      </w:r>
    </w:p>
    <w:p w14:paraId="3B4D787D" w14:textId="3DEE6BFE" w:rsidR="0020636E" w:rsidRDefault="0020636E">
      <w:pPr>
        <w:rPr>
          <w:bCs/>
        </w:rPr>
      </w:pPr>
      <w:r>
        <w:rPr>
          <w:bCs/>
        </w:rPr>
        <w:br w:type="page"/>
      </w:r>
    </w:p>
    <w:p w14:paraId="7EB1B9AC" w14:textId="3130FE5C" w:rsidR="00F66167" w:rsidRDefault="00F66167" w:rsidP="00A44017">
      <w:pPr>
        <w:rPr>
          <w:bCs/>
        </w:rPr>
      </w:pPr>
    </w:p>
    <w:p w14:paraId="5D203C39" w14:textId="386A5A29" w:rsidR="0020636E" w:rsidRDefault="00B767BE" w:rsidP="00A44017">
      <w:pPr>
        <w:rPr>
          <w:bCs/>
        </w:rPr>
      </w:pPr>
      <w:r>
        <w:rPr>
          <w:bCs/>
          <w:noProof/>
        </w:rPr>
        <w:drawing>
          <wp:inline distT="0" distB="0" distL="0" distR="0" wp14:anchorId="631199CE" wp14:editId="330AD700">
            <wp:extent cx="5943600" cy="2762885"/>
            <wp:effectExtent l="12700" t="12700" r="12700" b="18415"/>
            <wp:docPr id="9" name="Picture 9" descr="A graph with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aph with a line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28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434767" w14:textId="3F9ADC86" w:rsidR="0020636E" w:rsidRDefault="0020636E" w:rsidP="00A44017">
      <w:pPr>
        <w:rPr>
          <w:bCs/>
        </w:rPr>
      </w:pPr>
    </w:p>
    <w:p w14:paraId="2F444535" w14:textId="30A70A55" w:rsidR="0020636E" w:rsidRDefault="0020636E" w:rsidP="0020636E">
      <w:pPr>
        <w:jc w:val="both"/>
        <w:rPr>
          <w:bCs/>
        </w:rPr>
      </w:pPr>
      <w:r>
        <w:rPr>
          <w:b/>
        </w:rPr>
        <w:t xml:space="preserve">Figure S12. The proposed TLP retrospectively applied to PH-1.  </w:t>
      </w:r>
      <w:r>
        <w:rPr>
          <w:bCs/>
        </w:rPr>
        <w:t>Stimulation operations (black lines) for individual stages (text labels) are shown alongside the induced earthquakes (blue circles) and our proposed TLP thresholds (solid-coloured lines)</w:t>
      </w:r>
      <w:r w:rsidRPr="003D0D34">
        <w:rPr>
          <w:bCs/>
        </w:rPr>
        <w:t>.</w:t>
      </w:r>
      <w:r w:rsidR="009527C8">
        <w:rPr>
          <w:bCs/>
        </w:rPr>
        <w:t xml:space="preserve">  </w:t>
      </w:r>
      <w:r>
        <w:rPr>
          <w:bCs/>
        </w:rPr>
        <w:t xml:space="preserve">The proposed </w:t>
      </w:r>
      <w:r w:rsidR="009527C8">
        <w:rPr>
          <w:bCs/>
        </w:rPr>
        <w:t xml:space="preserve">(static) </w:t>
      </w:r>
      <w:r>
        <w:rPr>
          <w:bCs/>
        </w:rPr>
        <w:t xml:space="preserve">red-light would have been triggered for the </w:t>
      </w:r>
      <w:r w:rsidR="009527C8">
        <w:rPr>
          <w:bCs/>
        </w:rPr>
        <w:t>PH</w:t>
      </w:r>
      <w:r>
        <w:rPr>
          <w:bCs/>
        </w:rPr>
        <w:t>-1 case</w:t>
      </w:r>
      <w:r w:rsidR="00651E6F">
        <w:rPr>
          <w:bCs/>
        </w:rPr>
        <w:t xml:space="preserve">, </w:t>
      </w:r>
      <w:r w:rsidR="00F03CEF">
        <w:rPr>
          <w:bCs/>
        </w:rPr>
        <w:t>by</w:t>
      </w:r>
      <w:r w:rsidR="00651E6F">
        <w:rPr>
          <w:bCs/>
        </w:rPr>
        <w:t xml:space="preserve"> the M</w:t>
      </w:r>
      <w:r w:rsidR="00651E6F" w:rsidRPr="00651E6F">
        <w:rPr>
          <w:bCs/>
          <w:vertAlign w:val="subscript"/>
        </w:rPr>
        <w:t>L</w:t>
      </w:r>
      <w:r w:rsidR="00651E6F">
        <w:rPr>
          <w:bCs/>
        </w:rPr>
        <w:t xml:space="preserve"> 2.3 event</w:t>
      </w:r>
      <w:r>
        <w:rPr>
          <w:bCs/>
        </w:rPr>
        <w:t xml:space="preserve">.  </w:t>
      </w:r>
      <w:r w:rsidR="00682147">
        <w:rPr>
          <w:bCs/>
        </w:rPr>
        <w:t xml:space="preserve">Not enough data is available to provide a pseudo adaptive TLP.  </w:t>
      </w:r>
      <w:r>
        <w:rPr>
          <w:bCs/>
        </w:rPr>
        <w:t>Plot is analogous to Figure 10.</w:t>
      </w:r>
    </w:p>
    <w:p w14:paraId="4723FEA8" w14:textId="77777777" w:rsidR="0020636E" w:rsidRPr="000B47A0" w:rsidRDefault="0020636E" w:rsidP="00A44017">
      <w:pPr>
        <w:rPr>
          <w:bCs/>
        </w:rPr>
      </w:pPr>
    </w:p>
    <w:sectPr w:rsidR="0020636E" w:rsidRPr="000B47A0" w:rsidSect="00673563">
      <w:footerReference w:type="even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316EF" w14:textId="77777777" w:rsidR="00BA4D3F" w:rsidRDefault="00BA4D3F" w:rsidP="003E5E8F">
      <w:r>
        <w:separator/>
      </w:r>
    </w:p>
  </w:endnote>
  <w:endnote w:type="continuationSeparator" w:id="0">
    <w:p w14:paraId="14ED739E" w14:textId="77777777" w:rsidR="00BA4D3F" w:rsidRDefault="00BA4D3F" w:rsidP="003E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24119558"/>
      <w:docPartObj>
        <w:docPartGallery w:val="Page Numbers (Bottom of Page)"/>
        <w:docPartUnique/>
      </w:docPartObj>
    </w:sdtPr>
    <w:sdtContent>
      <w:p w14:paraId="67251B41" w14:textId="53A8B7FC" w:rsidR="003E5E8F" w:rsidRDefault="003E5E8F" w:rsidP="0009507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283926" w14:textId="77777777" w:rsidR="003E5E8F" w:rsidRDefault="003E5E8F" w:rsidP="003E5E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08646830"/>
      <w:docPartObj>
        <w:docPartGallery w:val="Page Numbers (Bottom of Page)"/>
        <w:docPartUnique/>
      </w:docPartObj>
    </w:sdtPr>
    <w:sdtContent>
      <w:p w14:paraId="7DE222BD" w14:textId="6E9CFEC7" w:rsidR="003E5E8F" w:rsidRDefault="003E5E8F" w:rsidP="0009507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 xml:space="preserve">Page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C5A89C" w14:textId="77777777" w:rsidR="003E5E8F" w:rsidRDefault="003E5E8F" w:rsidP="003E5E8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D9A55" w14:textId="77777777" w:rsidR="00BA4D3F" w:rsidRDefault="00BA4D3F" w:rsidP="003E5E8F">
      <w:r>
        <w:separator/>
      </w:r>
    </w:p>
  </w:footnote>
  <w:footnote w:type="continuationSeparator" w:id="0">
    <w:p w14:paraId="182BAB4C" w14:textId="77777777" w:rsidR="00BA4D3F" w:rsidRDefault="00BA4D3F" w:rsidP="003E5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815B6"/>
    <w:multiLevelType w:val="hybridMultilevel"/>
    <w:tmpl w:val="7130E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839AA"/>
    <w:multiLevelType w:val="hybridMultilevel"/>
    <w:tmpl w:val="C4DA5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F150F"/>
    <w:multiLevelType w:val="hybridMultilevel"/>
    <w:tmpl w:val="2726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C3EB6"/>
    <w:multiLevelType w:val="hybridMultilevel"/>
    <w:tmpl w:val="0CC8A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B3F73"/>
    <w:multiLevelType w:val="hybridMultilevel"/>
    <w:tmpl w:val="C458F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502B6"/>
    <w:multiLevelType w:val="hybridMultilevel"/>
    <w:tmpl w:val="43A21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75F07"/>
    <w:multiLevelType w:val="hybridMultilevel"/>
    <w:tmpl w:val="A4109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76B06"/>
    <w:multiLevelType w:val="hybridMultilevel"/>
    <w:tmpl w:val="1CB80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197601">
    <w:abstractNumId w:val="2"/>
  </w:num>
  <w:num w:numId="2" w16cid:durableId="1450467656">
    <w:abstractNumId w:val="5"/>
  </w:num>
  <w:num w:numId="3" w16cid:durableId="1328745500">
    <w:abstractNumId w:val="4"/>
  </w:num>
  <w:num w:numId="4" w16cid:durableId="1126897775">
    <w:abstractNumId w:val="3"/>
  </w:num>
  <w:num w:numId="5" w16cid:durableId="1922443045">
    <w:abstractNumId w:val="1"/>
  </w:num>
  <w:num w:numId="6" w16cid:durableId="148907427">
    <w:abstractNumId w:val="0"/>
  </w:num>
  <w:num w:numId="7" w16cid:durableId="724917052">
    <w:abstractNumId w:val="7"/>
  </w:num>
  <w:num w:numId="8" w16cid:durableId="1355955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35"/>
    <w:rsid w:val="00000E28"/>
    <w:rsid w:val="000043E3"/>
    <w:rsid w:val="000049C8"/>
    <w:rsid w:val="00021F61"/>
    <w:rsid w:val="000263AB"/>
    <w:rsid w:val="00030797"/>
    <w:rsid w:val="00031765"/>
    <w:rsid w:val="00031F89"/>
    <w:rsid w:val="0003230A"/>
    <w:rsid w:val="00032B04"/>
    <w:rsid w:val="000362DC"/>
    <w:rsid w:val="00040FBD"/>
    <w:rsid w:val="00041111"/>
    <w:rsid w:val="00041866"/>
    <w:rsid w:val="000442B2"/>
    <w:rsid w:val="0005116E"/>
    <w:rsid w:val="0005162E"/>
    <w:rsid w:val="00051B35"/>
    <w:rsid w:val="00054CD5"/>
    <w:rsid w:val="000564D7"/>
    <w:rsid w:val="0005724D"/>
    <w:rsid w:val="00057950"/>
    <w:rsid w:val="00071B69"/>
    <w:rsid w:val="00077CC5"/>
    <w:rsid w:val="00083BD0"/>
    <w:rsid w:val="0008641F"/>
    <w:rsid w:val="0008668D"/>
    <w:rsid w:val="00086B17"/>
    <w:rsid w:val="00091717"/>
    <w:rsid w:val="00091D86"/>
    <w:rsid w:val="000921A8"/>
    <w:rsid w:val="000A56EE"/>
    <w:rsid w:val="000A7FF9"/>
    <w:rsid w:val="000B1CA8"/>
    <w:rsid w:val="000B47A0"/>
    <w:rsid w:val="000B639C"/>
    <w:rsid w:val="000C37DA"/>
    <w:rsid w:val="000E35BC"/>
    <w:rsid w:val="000F1607"/>
    <w:rsid w:val="000F233C"/>
    <w:rsid w:val="0010116B"/>
    <w:rsid w:val="001016B7"/>
    <w:rsid w:val="00115A55"/>
    <w:rsid w:val="00121C44"/>
    <w:rsid w:val="001273AC"/>
    <w:rsid w:val="0012750F"/>
    <w:rsid w:val="001404C7"/>
    <w:rsid w:val="00140F7A"/>
    <w:rsid w:val="00150A0C"/>
    <w:rsid w:val="00150F06"/>
    <w:rsid w:val="0015464A"/>
    <w:rsid w:val="001551AA"/>
    <w:rsid w:val="00156319"/>
    <w:rsid w:val="001637E2"/>
    <w:rsid w:val="0016390F"/>
    <w:rsid w:val="00166926"/>
    <w:rsid w:val="00171584"/>
    <w:rsid w:val="00173769"/>
    <w:rsid w:val="00173996"/>
    <w:rsid w:val="00180714"/>
    <w:rsid w:val="001850E2"/>
    <w:rsid w:val="00192117"/>
    <w:rsid w:val="001A007F"/>
    <w:rsid w:val="001A345B"/>
    <w:rsid w:val="001A4974"/>
    <w:rsid w:val="001A57C7"/>
    <w:rsid w:val="001B4268"/>
    <w:rsid w:val="001B443F"/>
    <w:rsid w:val="001B507A"/>
    <w:rsid w:val="001D4FE8"/>
    <w:rsid w:val="001E476F"/>
    <w:rsid w:val="001E47E6"/>
    <w:rsid w:val="002007EF"/>
    <w:rsid w:val="0020636E"/>
    <w:rsid w:val="00210164"/>
    <w:rsid w:val="0021130F"/>
    <w:rsid w:val="0021188F"/>
    <w:rsid w:val="00213D3C"/>
    <w:rsid w:val="00215D87"/>
    <w:rsid w:val="00220E4F"/>
    <w:rsid w:val="002250CD"/>
    <w:rsid w:val="002267A2"/>
    <w:rsid w:val="002452AE"/>
    <w:rsid w:val="002509CE"/>
    <w:rsid w:val="0025289E"/>
    <w:rsid w:val="0025318A"/>
    <w:rsid w:val="00257A13"/>
    <w:rsid w:val="002606AD"/>
    <w:rsid w:val="00271792"/>
    <w:rsid w:val="00271B75"/>
    <w:rsid w:val="0028097C"/>
    <w:rsid w:val="00284D6D"/>
    <w:rsid w:val="0029240E"/>
    <w:rsid w:val="00296036"/>
    <w:rsid w:val="002976CD"/>
    <w:rsid w:val="002A32D6"/>
    <w:rsid w:val="002B4462"/>
    <w:rsid w:val="002B5B76"/>
    <w:rsid w:val="002C0DA5"/>
    <w:rsid w:val="002C1BB5"/>
    <w:rsid w:val="002D4256"/>
    <w:rsid w:val="002E07F2"/>
    <w:rsid w:val="002E2F1A"/>
    <w:rsid w:val="002E40BB"/>
    <w:rsid w:val="002E5569"/>
    <w:rsid w:val="002E5ED0"/>
    <w:rsid w:val="002E6339"/>
    <w:rsid w:val="002F4484"/>
    <w:rsid w:val="002F5B36"/>
    <w:rsid w:val="002F758E"/>
    <w:rsid w:val="00306738"/>
    <w:rsid w:val="003068D0"/>
    <w:rsid w:val="00315CDC"/>
    <w:rsid w:val="00333705"/>
    <w:rsid w:val="003349D6"/>
    <w:rsid w:val="003354A0"/>
    <w:rsid w:val="00341DA5"/>
    <w:rsid w:val="003431CA"/>
    <w:rsid w:val="0035271D"/>
    <w:rsid w:val="003561DD"/>
    <w:rsid w:val="003604BD"/>
    <w:rsid w:val="00366166"/>
    <w:rsid w:val="00367F53"/>
    <w:rsid w:val="00381311"/>
    <w:rsid w:val="00385DC3"/>
    <w:rsid w:val="00392367"/>
    <w:rsid w:val="0039276D"/>
    <w:rsid w:val="00395A71"/>
    <w:rsid w:val="003967BA"/>
    <w:rsid w:val="003A0FC2"/>
    <w:rsid w:val="003C0C21"/>
    <w:rsid w:val="003C1AC7"/>
    <w:rsid w:val="003C3583"/>
    <w:rsid w:val="003D252C"/>
    <w:rsid w:val="003E006D"/>
    <w:rsid w:val="003E0CB8"/>
    <w:rsid w:val="003E17D6"/>
    <w:rsid w:val="003E5C39"/>
    <w:rsid w:val="003E5E8F"/>
    <w:rsid w:val="003F2D9F"/>
    <w:rsid w:val="003F4354"/>
    <w:rsid w:val="003F5DDA"/>
    <w:rsid w:val="004021D6"/>
    <w:rsid w:val="0040530F"/>
    <w:rsid w:val="00406DB3"/>
    <w:rsid w:val="00411B14"/>
    <w:rsid w:val="004139B8"/>
    <w:rsid w:val="0041676F"/>
    <w:rsid w:val="00421056"/>
    <w:rsid w:val="0043035F"/>
    <w:rsid w:val="00435B6C"/>
    <w:rsid w:val="00442712"/>
    <w:rsid w:val="0044608A"/>
    <w:rsid w:val="00447897"/>
    <w:rsid w:val="00447F78"/>
    <w:rsid w:val="004506C0"/>
    <w:rsid w:val="00450FB8"/>
    <w:rsid w:val="00451231"/>
    <w:rsid w:val="00452F77"/>
    <w:rsid w:val="00454CB8"/>
    <w:rsid w:val="00455BB3"/>
    <w:rsid w:val="00472B81"/>
    <w:rsid w:val="00476BA4"/>
    <w:rsid w:val="0047719C"/>
    <w:rsid w:val="00483242"/>
    <w:rsid w:val="004A0D01"/>
    <w:rsid w:val="004A43DD"/>
    <w:rsid w:val="004B150E"/>
    <w:rsid w:val="004B6DE2"/>
    <w:rsid w:val="004C338C"/>
    <w:rsid w:val="004C5D7D"/>
    <w:rsid w:val="004D027F"/>
    <w:rsid w:val="004D2D6C"/>
    <w:rsid w:val="004E0389"/>
    <w:rsid w:val="004E30E7"/>
    <w:rsid w:val="004E5C34"/>
    <w:rsid w:val="004E5D42"/>
    <w:rsid w:val="00512925"/>
    <w:rsid w:val="00520A11"/>
    <w:rsid w:val="0053143A"/>
    <w:rsid w:val="005335E0"/>
    <w:rsid w:val="005370B5"/>
    <w:rsid w:val="005372F6"/>
    <w:rsid w:val="00537B42"/>
    <w:rsid w:val="00554DAF"/>
    <w:rsid w:val="00555FE8"/>
    <w:rsid w:val="005579C7"/>
    <w:rsid w:val="0056398E"/>
    <w:rsid w:val="00567EDA"/>
    <w:rsid w:val="005707A3"/>
    <w:rsid w:val="00570A10"/>
    <w:rsid w:val="0057255B"/>
    <w:rsid w:val="00573FE5"/>
    <w:rsid w:val="00577C11"/>
    <w:rsid w:val="00581709"/>
    <w:rsid w:val="005872CB"/>
    <w:rsid w:val="005903A0"/>
    <w:rsid w:val="005A510D"/>
    <w:rsid w:val="005A586E"/>
    <w:rsid w:val="005A588D"/>
    <w:rsid w:val="005B1BC8"/>
    <w:rsid w:val="005B2396"/>
    <w:rsid w:val="005B34DC"/>
    <w:rsid w:val="005C1659"/>
    <w:rsid w:val="005C2018"/>
    <w:rsid w:val="005E1EA7"/>
    <w:rsid w:val="005F4452"/>
    <w:rsid w:val="005F5B6F"/>
    <w:rsid w:val="005F7465"/>
    <w:rsid w:val="00604858"/>
    <w:rsid w:val="00604DDE"/>
    <w:rsid w:val="006112EA"/>
    <w:rsid w:val="00613972"/>
    <w:rsid w:val="0062316C"/>
    <w:rsid w:val="006254D4"/>
    <w:rsid w:val="00647D31"/>
    <w:rsid w:val="00650252"/>
    <w:rsid w:val="00650E47"/>
    <w:rsid w:val="00651E6F"/>
    <w:rsid w:val="006544B1"/>
    <w:rsid w:val="00664AB7"/>
    <w:rsid w:val="006668EC"/>
    <w:rsid w:val="00670FAA"/>
    <w:rsid w:val="006730CD"/>
    <w:rsid w:val="00673563"/>
    <w:rsid w:val="00676465"/>
    <w:rsid w:val="00680B6E"/>
    <w:rsid w:val="00682147"/>
    <w:rsid w:val="006929FC"/>
    <w:rsid w:val="00692F6F"/>
    <w:rsid w:val="00693FC1"/>
    <w:rsid w:val="0069497E"/>
    <w:rsid w:val="00695636"/>
    <w:rsid w:val="00695F74"/>
    <w:rsid w:val="006A1B4B"/>
    <w:rsid w:val="006A223E"/>
    <w:rsid w:val="006A55FF"/>
    <w:rsid w:val="006A5ADC"/>
    <w:rsid w:val="006A5DE1"/>
    <w:rsid w:val="006A71C9"/>
    <w:rsid w:val="006B04E3"/>
    <w:rsid w:val="006B6541"/>
    <w:rsid w:val="006B717E"/>
    <w:rsid w:val="006C0B5F"/>
    <w:rsid w:val="006F42B8"/>
    <w:rsid w:val="006F47D7"/>
    <w:rsid w:val="00700A3B"/>
    <w:rsid w:val="007012D7"/>
    <w:rsid w:val="00704AC2"/>
    <w:rsid w:val="007066EA"/>
    <w:rsid w:val="00710150"/>
    <w:rsid w:val="0071141E"/>
    <w:rsid w:val="0071296D"/>
    <w:rsid w:val="0072616C"/>
    <w:rsid w:val="0073231C"/>
    <w:rsid w:val="00733220"/>
    <w:rsid w:val="007376D2"/>
    <w:rsid w:val="00742544"/>
    <w:rsid w:val="0075185C"/>
    <w:rsid w:val="007555C0"/>
    <w:rsid w:val="00755F0F"/>
    <w:rsid w:val="00757EE1"/>
    <w:rsid w:val="00766A3B"/>
    <w:rsid w:val="0078017F"/>
    <w:rsid w:val="00780264"/>
    <w:rsid w:val="00790073"/>
    <w:rsid w:val="00794D31"/>
    <w:rsid w:val="007955AA"/>
    <w:rsid w:val="00797473"/>
    <w:rsid w:val="007A3B59"/>
    <w:rsid w:val="007A5B16"/>
    <w:rsid w:val="007B582D"/>
    <w:rsid w:val="007B6BD9"/>
    <w:rsid w:val="007E0F9E"/>
    <w:rsid w:val="007E3399"/>
    <w:rsid w:val="007F783C"/>
    <w:rsid w:val="00801699"/>
    <w:rsid w:val="008100DF"/>
    <w:rsid w:val="00811713"/>
    <w:rsid w:val="008168BF"/>
    <w:rsid w:val="00820084"/>
    <w:rsid w:val="00821650"/>
    <w:rsid w:val="008242BE"/>
    <w:rsid w:val="00826A34"/>
    <w:rsid w:val="00836518"/>
    <w:rsid w:val="008403EA"/>
    <w:rsid w:val="00850054"/>
    <w:rsid w:val="00850F04"/>
    <w:rsid w:val="008511C3"/>
    <w:rsid w:val="0085445A"/>
    <w:rsid w:val="008559E6"/>
    <w:rsid w:val="0086436B"/>
    <w:rsid w:val="00870B50"/>
    <w:rsid w:val="00882B05"/>
    <w:rsid w:val="00883BF7"/>
    <w:rsid w:val="00884F85"/>
    <w:rsid w:val="00895548"/>
    <w:rsid w:val="008970A5"/>
    <w:rsid w:val="008B36B0"/>
    <w:rsid w:val="008B3F68"/>
    <w:rsid w:val="008B5A48"/>
    <w:rsid w:val="008C4E98"/>
    <w:rsid w:val="008C5003"/>
    <w:rsid w:val="008D0A80"/>
    <w:rsid w:val="008D703D"/>
    <w:rsid w:val="008E586C"/>
    <w:rsid w:val="008F4ECC"/>
    <w:rsid w:val="00903607"/>
    <w:rsid w:val="00904450"/>
    <w:rsid w:val="009063A8"/>
    <w:rsid w:val="00912A15"/>
    <w:rsid w:val="00912FE0"/>
    <w:rsid w:val="009146E0"/>
    <w:rsid w:val="00914AA5"/>
    <w:rsid w:val="00932C98"/>
    <w:rsid w:val="009362FA"/>
    <w:rsid w:val="0093682A"/>
    <w:rsid w:val="0094210A"/>
    <w:rsid w:val="009434BC"/>
    <w:rsid w:val="00943D4B"/>
    <w:rsid w:val="009451C6"/>
    <w:rsid w:val="009527C8"/>
    <w:rsid w:val="00960882"/>
    <w:rsid w:val="00973032"/>
    <w:rsid w:val="00973BE1"/>
    <w:rsid w:val="00982338"/>
    <w:rsid w:val="009854CA"/>
    <w:rsid w:val="0098576A"/>
    <w:rsid w:val="009A3AA7"/>
    <w:rsid w:val="009A45A0"/>
    <w:rsid w:val="009A50FB"/>
    <w:rsid w:val="009B7991"/>
    <w:rsid w:val="009C6333"/>
    <w:rsid w:val="009D1922"/>
    <w:rsid w:val="009D4900"/>
    <w:rsid w:val="009D5AA0"/>
    <w:rsid w:val="009D74A7"/>
    <w:rsid w:val="009E5C8B"/>
    <w:rsid w:val="009E79D7"/>
    <w:rsid w:val="009F3F11"/>
    <w:rsid w:val="009F519E"/>
    <w:rsid w:val="00A0013B"/>
    <w:rsid w:val="00A042EC"/>
    <w:rsid w:val="00A07089"/>
    <w:rsid w:val="00A07379"/>
    <w:rsid w:val="00A170DB"/>
    <w:rsid w:val="00A21C33"/>
    <w:rsid w:val="00A22601"/>
    <w:rsid w:val="00A3062B"/>
    <w:rsid w:val="00A32333"/>
    <w:rsid w:val="00A3287C"/>
    <w:rsid w:val="00A33E15"/>
    <w:rsid w:val="00A44017"/>
    <w:rsid w:val="00A53453"/>
    <w:rsid w:val="00A56078"/>
    <w:rsid w:val="00A722C4"/>
    <w:rsid w:val="00A751FC"/>
    <w:rsid w:val="00A7521B"/>
    <w:rsid w:val="00A75F50"/>
    <w:rsid w:val="00A76E1A"/>
    <w:rsid w:val="00A77000"/>
    <w:rsid w:val="00A842F7"/>
    <w:rsid w:val="00A845C9"/>
    <w:rsid w:val="00A930DB"/>
    <w:rsid w:val="00AA5538"/>
    <w:rsid w:val="00AA70C9"/>
    <w:rsid w:val="00AC1417"/>
    <w:rsid w:val="00AC2C5E"/>
    <w:rsid w:val="00AC4389"/>
    <w:rsid w:val="00AC4E8E"/>
    <w:rsid w:val="00AC7049"/>
    <w:rsid w:val="00AD2D4B"/>
    <w:rsid w:val="00AE1886"/>
    <w:rsid w:val="00AE1AD4"/>
    <w:rsid w:val="00AE1F1F"/>
    <w:rsid w:val="00AF1249"/>
    <w:rsid w:val="00AF1A81"/>
    <w:rsid w:val="00AF275D"/>
    <w:rsid w:val="00AF3414"/>
    <w:rsid w:val="00AF7E3F"/>
    <w:rsid w:val="00AF7F12"/>
    <w:rsid w:val="00B069BB"/>
    <w:rsid w:val="00B111BB"/>
    <w:rsid w:val="00B11B3E"/>
    <w:rsid w:val="00B13A25"/>
    <w:rsid w:val="00B17AE0"/>
    <w:rsid w:val="00B242C0"/>
    <w:rsid w:val="00B27D36"/>
    <w:rsid w:val="00B37111"/>
    <w:rsid w:val="00B428CB"/>
    <w:rsid w:val="00B4691A"/>
    <w:rsid w:val="00B61D47"/>
    <w:rsid w:val="00B6257F"/>
    <w:rsid w:val="00B639FD"/>
    <w:rsid w:val="00B66C8F"/>
    <w:rsid w:val="00B67A67"/>
    <w:rsid w:val="00B71888"/>
    <w:rsid w:val="00B767BE"/>
    <w:rsid w:val="00B77A52"/>
    <w:rsid w:val="00B800DE"/>
    <w:rsid w:val="00B81C9C"/>
    <w:rsid w:val="00B839F0"/>
    <w:rsid w:val="00B9276B"/>
    <w:rsid w:val="00BA2B6C"/>
    <w:rsid w:val="00BA4D3F"/>
    <w:rsid w:val="00BB34D7"/>
    <w:rsid w:val="00BD0727"/>
    <w:rsid w:val="00BD17D1"/>
    <w:rsid w:val="00BE2DC9"/>
    <w:rsid w:val="00BE323C"/>
    <w:rsid w:val="00BF074B"/>
    <w:rsid w:val="00BF09F8"/>
    <w:rsid w:val="00BF2C63"/>
    <w:rsid w:val="00BF30FA"/>
    <w:rsid w:val="00BF4584"/>
    <w:rsid w:val="00BF5363"/>
    <w:rsid w:val="00C02CED"/>
    <w:rsid w:val="00C12950"/>
    <w:rsid w:val="00C16CE2"/>
    <w:rsid w:val="00C22EA8"/>
    <w:rsid w:val="00C23571"/>
    <w:rsid w:val="00C24428"/>
    <w:rsid w:val="00C4432D"/>
    <w:rsid w:val="00C46117"/>
    <w:rsid w:val="00C561D3"/>
    <w:rsid w:val="00C57801"/>
    <w:rsid w:val="00C6051F"/>
    <w:rsid w:val="00C62487"/>
    <w:rsid w:val="00C6251A"/>
    <w:rsid w:val="00C67AF0"/>
    <w:rsid w:val="00C67B9B"/>
    <w:rsid w:val="00C725C8"/>
    <w:rsid w:val="00C76EED"/>
    <w:rsid w:val="00C82DF9"/>
    <w:rsid w:val="00C8383C"/>
    <w:rsid w:val="00C86019"/>
    <w:rsid w:val="00C93D91"/>
    <w:rsid w:val="00C97FFD"/>
    <w:rsid w:val="00CA4552"/>
    <w:rsid w:val="00CA4745"/>
    <w:rsid w:val="00CA5367"/>
    <w:rsid w:val="00CA649D"/>
    <w:rsid w:val="00CB0F1F"/>
    <w:rsid w:val="00CB3009"/>
    <w:rsid w:val="00CB7A34"/>
    <w:rsid w:val="00CC092E"/>
    <w:rsid w:val="00CC126F"/>
    <w:rsid w:val="00CC5D6D"/>
    <w:rsid w:val="00CC616A"/>
    <w:rsid w:val="00CD3CC1"/>
    <w:rsid w:val="00CD610C"/>
    <w:rsid w:val="00CE6030"/>
    <w:rsid w:val="00CE6B63"/>
    <w:rsid w:val="00CF0997"/>
    <w:rsid w:val="00CF4940"/>
    <w:rsid w:val="00CF647F"/>
    <w:rsid w:val="00CF7851"/>
    <w:rsid w:val="00CF7996"/>
    <w:rsid w:val="00CF7A28"/>
    <w:rsid w:val="00CF7DED"/>
    <w:rsid w:val="00D01D4A"/>
    <w:rsid w:val="00D068D6"/>
    <w:rsid w:val="00D1100C"/>
    <w:rsid w:val="00D12E5B"/>
    <w:rsid w:val="00D13B13"/>
    <w:rsid w:val="00D14EDE"/>
    <w:rsid w:val="00D16A4B"/>
    <w:rsid w:val="00D26C3A"/>
    <w:rsid w:val="00D30A90"/>
    <w:rsid w:val="00D32C7B"/>
    <w:rsid w:val="00D3588E"/>
    <w:rsid w:val="00D42CE7"/>
    <w:rsid w:val="00D44ADF"/>
    <w:rsid w:val="00D46B03"/>
    <w:rsid w:val="00D53D6A"/>
    <w:rsid w:val="00D60EA9"/>
    <w:rsid w:val="00D651C4"/>
    <w:rsid w:val="00D66520"/>
    <w:rsid w:val="00D67D63"/>
    <w:rsid w:val="00D81020"/>
    <w:rsid w:val="00D8701E"/>
    <w:rsid w:val="00D9194D"/>
    <w:rsid w:val="00D91E73"/>
    <w:rsid w:val="00D92626"/>
    <w:rsid w:val="00D93BA9"/>
    <w:rsid w:val="00D961AE"/>
    <w:rsid w:val="00DA0B3A"/>
    <w:rsid w:val="00DB06C4"/>
    <w:rsid w:val="00DC020A"/>
    <w:rsid w:val="00DC18F8"/>
    <w:rsid w:val="00DC35A3"/>
    <w:rsid w:val="00DC57BB"/>
    <w:rsid w:val="00DD032A"/>
    <w:rsid w:val="00DD1401"/>
    <w:rsid w:val="00DD4E32"/>
    <w:rsid w:val="00DE2930"/>
    <w:rsid w:val="00E029AA"/>
    <w:rsid w:val="00E0516C"/>
    <w:rsid w:val="00E1621F"/>
    <w:rsid w:val="00E176AA"/>
    <w:rsid w:val="00E37512"/>
    <w:rsid w:val="00E4000F"/>
    <w:rsid w:val="00E4140E"/>
    <w:rsid w:val="00E42DC5"/>
    <w:rsid w:val="00E46EA6"/>
    <w:rsid w:val="00E532B3"/>
    <w:rsid w:val="00E54035"/>
    <w:rsid w:val="00E56A0B"/>
    <w:rsid w:val="00E6059C"/>
    <w:rsid w:val="00E653B1"/>
    <w:rsid w:val="00E73F7D"/>
    <w:rsid w:val="00E81393"/>
    <w:rsid w:val="00E84FC9"/>
    <w:rsid w:val="00E86CDF"/>
    <w:rsid w:val="00E911D6"/>
    <w:rsid w:val="00E944E4"/>
    <w:rsid w:val="00E94827"/>
    <w:rsid w:val="00E9538B"/>
    <w:rsid w:val="00E96C7C"/>
    <w:rsid w:val="00EA7C84"/>
    <w:rsid w:val="00EC2291"/>
    <w:rsid w:val="00ED6CC7"/>
    <w:rsid w:val="00EE0D11"/>
    <w:rsid w:val="00EE364D"/>
    <w:rsid w:val="00EE4473"/>
    <w:rsid w:val="00EE7615"/>
    <w:rsid w:val="00EF355D"/>
    <w:rsid w:val="00EF5CAC"/>
    <w:rsid w:val="00F0084A"/>
    <w:rsid w:val="00F03CEF"/>
    <w:rsid w:val="00F171BA"/>
    <w:rsid w:val="00F17688"/>
    <w:rsid w:val="00F25EC3"/>
    <w:rsid w:val="00F33BE4"/>
    <w:rsid w:val="00F33E48"/>
    <w:rsid w:val="00F35A11"/>
    <w:rsid w:val="00F5202B"/>
    <w:rsid w:val="00F55AF1"/>
    <w:rsid w:val="00F56CD8"/>
    <w:rsid w:val="00F60B53"/>
    <w:rsid w:val="00F66167"/>
    <w:rsid w:val="00F77B20"/>
    <w:rsid w:val="00F82EBB"/>
    <w:rsid w:val="00F9721E"/>
    <w:rsid w:val="00FA07F6"/>
    <w:rsid w:val="00FA0F8F"/>
    <w:rsid w:val="00FA3083"/>
    <w:rsid w:val="00FB3C3A"/>
    <w:rsid w:val="00FB5156"/>
    <w:rsid w:val="00FB5E73"/>
    <w:rsid w:val="00FC0F87"/>
    <w:rsid w:val="00FC13AD"/>
    <w:rsid w:val="00FC19FC"/>
    <w:rsid w:val="00FC1B9F"/>
    <w:rsid w:val="00FC444E"/>
    <w:rsid w:val="00FC5A3C"/>
    <w:rsid w:val="00FE1842"/>
    <w:rsid w:val="00FE6657"/>
    <w:rsid w:val="00FE786B"/>
    <w:rsid w:val="00FF1451"/>
    <w:rsid w:val="00FF3EF4"/>
    <w:rsid w:val="00FF4A52"/>
    <w:rsid w:val="00FF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D0433"/>
  <w15:chartTrackingRefBased/>
  <w15:docId w15:val="{ECA34A31-5C96-9842-A74A-E4955BCE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0D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B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5B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97FFD"/>
    <w:pPr>
      <w:spacing w:before="100" w:beforeAutospacing="1" w:after="100" w:afterAutospacing="1"/>
    </w:pPr>
  </w:style>
  <w:style w:type="character" w:customStyle="1" w:styleId="c-bibliographic-informationvalue">
    <w:name w:val="c-bibliographic-information__value"/>
    <w:basedOn w:val="DefaultParagraphFont"/>
    <w:rsid w:val="00C97FFD"/>
  </w:style>
  <w:style w:type="paragraph" w:customStyle="1" w:styleId="Standard">
    <w:name w:val="Standard"/>
    <w:qFormat/>
    <w:rsid w:val="00C97FFD"/>
    <w:rPr>
      <w:rFonts w:ascii="Times New Roman" w:eastAsia="Arial Unicode MS" w:hAnsi="Times New Roman" w:cs="Arial Unicode MS"/>
      <w:kern w:val="3"/>
      <w:lang w:val="en-CA" w:eastAsia="zh-CN" w:bidi="hi-IN"/>
    </w:rPr>
  </w:style>
  <w:style w:type="character" w:customStyle="1" w:styleId="slug-doi">
    <w:name w:val="slug-doi"/>
    <w:basedOn w:val="DefaultParagraphFont"/>
    <w:qFormat/>
    <w:rsid w:val="00C97FFD"/>
  </w:style>
  <w:style w:type="character" w:customStyle="1" w:styleId="event-name">
    <w:name w:val="event-name"/>
    <w:basedOn w:val="DefaultParagraphFont"/>
    <w:rsid w:val="00C97FFD"/>
  </w:style>
  <w:style w:type="character" w:customStyle="1" w:styleId="highwire-cite-metadata-doi">
    <w:name w:val="highwire-cite-metadata-doi"/>
    <w:basedOn w:val="DefaultParagraphFont"/>
    <w:qFormat/>
    <w:rsid w:val="00C97FFD"/>
    <w:rPr>
      <w:sz w:val="24"/>
      <w:szCs w:val="24"/>
      <w:vertAlign w:val="baseline"/>
    </w:rPr>
  </w:style>
  <w:style w:type="character" w:customStyle="1" w:styleId="text">
    <w:name w:val="text"/>
    <w:basedOn w:val="DefaultParagraphFont"/>
    <w:rsid w:val="00C97FFD"/>
  </w:style>
  <w:style w:type="character" w:styleId="UnresolvedMention">
    <w:name w:val="Unresolved Mention"/>
    <w:basedOn w:val="DefaultParagraphFont"/>
    <w:uiPriority w:val="99"/>
    <w:semiHidden/>
    <w:unhideWhenUsed/>
    <w:rsid w:val="00A323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701E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E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5E8F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3E5E8F"/>
  </w:style>
  <w:style w:type="paragraph" w:styleId="Header">
    <w:name w:val="header"/>
    <w:basedOn w:val="Normal"/>
    <w:link w:val="HeaderChar"/>
    <w:uiPriority w:val="99"/>
    <w:unhideWhenUsed/>
    <w:rsid w:val="003E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5E8F"/>
    <w:rPr>
      <w:rFonts w:ascii="Times New Roman" w:eastAsia="Times New Roman" w:hAnsi="Times New Roman" w:cs="Times New Roman"/>
    </w:rPr>
  </w:style>
  <w:style w:type="character" w:customStyle="1" w:styleId="meta-value">
    <w:name w:val="meta-value"/>
    <w:basedOn w:val="DefaultParagraphFont"/>
    <w:rsid w:val="00215D87"/>
  </w:style>
  <w:style w:type="character" w:styleId="CommentReference">
    <w:name w:val="annotation reference"/>
    <w:basedOn w:val="DefaultParagraphFont"/>
    <w:uiPriority w:val="99"/>
    <w:semiHidden/>
    <w:unhideWhenUsed/>
    <w:rsid w:val="00E162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1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21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21F"/>
    <w:rPr>
      <w:rFonts w:ascii="Times New Roman" w:eastAsia="Times New Roman" w:hAnsi="Times New Roman" w:cs="Times New Roman"/>
      <w:sz w:val="18"/>
      <w:szCs w:val="18"/>
    </w:rPr>
  </w:style>
  <w:style w:type="character" w:customStyle="1" w:styleId="font3">
    <w:name w:val="font3"/>
    <w:basedOn w:val="DefaultParagraphFont"/>
    <w:rsid w:val="002E5ED0"/>
  </w:style>
  <w:style w:type="character" w:styleId="LineNumber">
    <w:name w:val="line number"/>
    <w:basedOn w:val="DefaultParagraphFont"/>
    <w:uiPriority w:val="99"/>
    <w:semiHidden/>
    <w:unhideWhenUsed/>
    <w:rsid w:val="00367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3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6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7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8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5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0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Schultz</dc:creator>
  <cp:keywords/>
  <dc:description/>
  <cp:lastModifiedBy>Ryan Schultz</cp:lastModifiedBy>
  <cp:revision>551</cp:revision>
  <dcterms:created xsi:type="dcterms:W3CDTF">2021-12-07T20:19:00Z</dcterms:created>
  <dcterms:modified xsi:type="dcterms:W3CDTF">2023-09-18T07:09:00Z</dcterms:modified>
</cp:coreProperties>
</file>