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4F228" w14:textId="07D37233" w:rsidR="00862CAE" w:rsidRDefault="008170CE">
      <w:pPr>
        <w:pStyle w:val="Ttulo"/>
      </w:pPr>
      <w:r>
        <w:t>Supplementary Material for:</w:t>
      </w:r>
      <w:r>
        <w:br/>
      </w:r>
      <w:r w:rsidR="0048351E" w:rsidRPr="0048351E">
        <w:t>The 1804 Alborán seismic series: search for the source</w:t>
      </w:r>
    </w:p>
    <w:p w14:paraId="10BAE15A" w14:textId="4549E202" w:rsidR="00501946" w:rsidRDefault="00501946" w:rsidP="00501946">
      <w:pPr>
        <w:pStyle w:val="Authors"/>
      </w:pPr>
      <w:r w:rsidRPr="00501946">
        <w:t>Y</w:t>
      </w:r>
      <w:r>
        <w:t>olanda</w:t>
      </w:r>
      <w:r w:rsidRPr="00501946">
        <w:t xml:space="preserve"> de Pro-Díaz</w:t>
      </w:r>
      <w:r w:rsidRPr="00501946">
        <w:rPr>
          <w:vertAlign w:val="superscript"/>
        </w:rPr>
        <w:t>1*</w:t>
      </w:r>
      <w:r w:rsidRPr="00501946">
        <w:t>, J</w:t>
      </w:r>
      <w:r>
        <w:t>osé Jesús</w:t>
      </w:r>
      <w:r w:rsidRPr="00501946">
        <w:t xml:space="preserve"> Martínez-Díaz</w:t>
      </w:r>
      <w:r w:rsidRPr="00501946">
        <w:rPr>
          <w:vertAlign w:val="superscript"/>
        </w:rPr>
        <w:t>1-2</w:t>
      </w:r>
      <w:r w:rsidRPr="00501946">
        <w:t>, and C</w:t>
      </w:r>
      <w:r>
        <w:t>arolina</w:t>
      </w:r>
      <w:r w:rsidRPr="00501946">
        <w:t xml:space="preserve"> Canora-Catalán</w:t>
      </w:r>
      <w:r w:rsidRPr="00501946">
        <w:rPr>
          <w:vertAlign w:val="superscript"/>
        </w:rPr>
        <w:t>3</w:t>
      </w:r>
    </w:p>
    <w:p w14:paraId="035608A8" w14:textId="77777777" w:rsidR="00501946" w:rsidRPr="00501946" w:rsidRDefault="00501946" w:rsidP="00501946">
      <w:pPr>
        <w:pStyle w:val="Affiliation"/>
        <w:rPr>
          <w:vertAlign w:val="baseline"/>
        </w:rPr>
      </w:pPr>
      <w:r w:rsidRPr="00501946">
        <w:t>1</w:t>
      </w:r>
      <w:r w:rsidRPr="00501946">
        <w:rPr>
          <w:vertAlign w:val="baseline"/>
        </w:rPr>
        <w:t>Department of Geodynamics, Stratigraphy and Paleontology, Universidad Complutense de Madrid, Madrid, Spain</w:t>
      </w:r>
    </w:p>
    <w:p w14:paraId="1696CF67" w14:textId="77777777" w:rsidR="00501946" w:rsidRPr="00501946" w:rsidRDefault="00501946" w:rsidP="00501946">
      <w:pPr>
        <w:pStyle w:val="Affiliation"/>
        <w:rPr>
          <w:vertAlign w:val="baseline"/>
        </w:rPr>
      </w:pPr>
      <w:r w:rsidRPr="00501946">
        <w:t>2</w:t>
      </w:r>
      <w:r w:rsidRPr="00501946">
        <w:rPr>
          <w:vertAlign w:val="baseline"/>
        </w:rPr>
        <w:t>Instituto de Geociencias (CSIC, UCM)</w:t>
      </w:r>
    </w:p>
    <w:p w14:paraId="329F6900" w14:textId="77777777" w:rsidR="00501946" w:rsidRPr="00501946" w:rsidRDefault="00501946" w:rsidP="00501946">
      <w:pPr>
        <w:pStyle w:val="Affiliation"/>
        <w:rPr>
          <w:vertAlign w:val="baseline"/>
        </w:rPr>
      </w:pPr>
      <w:r w:rsidRPr="00501946">
        <w:t>3</w:t>
      </w:r>
      <w:r w:rsidRPr="00501946">
        <w:rPr>
          <w:vertAlign w:val="baseline"/>
        </w:rPr>
        <w:t>Department of Geology and Geochemistry, Universidad Autónoma de Madrid, Cantoblanco, Spain</w:t>
      </w:r>
    </w:p>
    <w:p w14:paraId="10A12396" w14:textId="13C1C149" w:rsidR="00501946" w:rsidRDefault="00501946" w:rsidP="00501946">
      <w:pPr>
        <w:pStyle w:val="Affiliation"/>
        <w:rPr>
          <w:vertAlign w:val="baseline"/>
        </w:rPr>
      </w:pPr>
      <w:r w:rsidRPr="00501946">
        <w:rPr>
          <w:vertAlign w:val="baseline"/>
        </w:rPr>
        <w:t xml:space="preserve">*Corresponding author: </w:t>
      </w:r>
      <w:hyperlink r:id="rId7" w:history="1">
        <w:r w:rsidRPr="00DE5272">
          <w:rPr>
            <w:rStyle w:val="Hipervnculo"/>
            <w:vertAlign w:val="baseline"/>
          </w:rPr>
          <w:t>ypro@ucm.es</w:t>
        </w:r>
      </w:hyperlink>
    </w:p>
    <w:p w14:paraId="5EA185ED" w14:textId="03D7CB9F" w:rsidR="00862CAE" w:rsidRDefault="00501946" w:rsidP="00501946">
      <w:pPr>
        <w:pStyle w:val="Ttulo1"/>
      </w:pPr>
      <w:r w:rsidRPr="00501946">
        <w:t xml:space="preserve"> </w:t>
      </w:r>
      <w:r w:rsidR="008170CE">
        <w:t xml:space="preserve">S1. </w:t>
      </w:r>
      <w:r w:rsidR="00FA2076">
        <w:rPr>
          <w:rFonts w:cs="Times New Roman"/>
        </w:rPr>
        <w:t xml:space="preserve">Translation from Spanish of </w:t>
      </w:r>
      <w:r w:rsidR="00FA2076">
        <w:rPr>
          <w:rFonts w:cs="Nachlieli CLM"/>
        </w:rPr>
        <w:fldChar w:fldCharType="begin" w:fldLock="1"/>
      </w:r>
      <w:r w:rsidR="00FA2076">
        <w:rPr>
          <w:rFonts w:cs="Times New Roman"/>
        </w:rPr>
        <w:instrText>ADDIN CSL_CITATION {"citationItems":[{"id":"ITEM-1","itemData":{"author":[{"dropping-particle":"","family":"Murphy Corella","given":"Patrick","non-dropping-particle":"","parse-names":false,"suffix":""}],"id":"ITEM-1","issued":{"date-parts":[["2019"]]},"number-of-pages":"599","publisher":"Instituto Geográfico Nacional","title":"Los terremotos de Almería de 1804 en el archivo histórico nacional","type":"book"},"uris":["http://www.mendeley.com/documents/?uuid=752dfe6d-133c-487b-8a61-06c77d146855"]}],"mendeley":{"formattedCitation":"(Murphy Corella, 2019)","manualFormatting":"Murphy Corella (2019)","plainTextFormattedCitation":"(Murphy Corella, 2019)","previouslyFormattedCitation":"(Murphy Corella, 2019)"},"properties":{"noteIndex":0},"schema":"https://github.com/citation-style-language/schema/raw/master/csl-citation.json"}</w:instrText>
      </w:r>
      <w:r w:rsidR="00FA2076">
        <w:rPr>
          <w:rFonts w:cs="Times New Roman"/>
        </w:rPr>
        <w:fldChar w:fldCharType="separate"/>
      </w:r>
      <w:r w:rsidR="00FA2076">
        <w:rPr>
          <w:rFonts w:cs="Times New Roman"/>
          <w:noProof/>
        </w:rPr>
        <w:t>Murphy Corella (2019)</w:t>
      </w:r>
      <w:r w:rsidR="00FA2076">
        <w:rPr>
          <w:rFonts w:cs="Times New Roman"/>
        </w:rPr>
        <w:fldChar w:fldCharType="end"/>
      </w:r>
      <w:r w:rsidR="00FA2076">
        <w:rPr>
          <w:rFonts w:cs="Times New Roman"/>
        </w:rPr>
        <w:t>’s work on the 1804 Alborán earthquake</w:t>
      </w:r>
    </w:p>
    <w:tbl>
      <w:tblPr>
        <w:tblStyle w:val="Tablaconcuadrcula"/>
        <w:tblW w:w="8494" w:type="dxa"/>
        <w:tblLayout w:type="fixed"/>
        <w:tblLook w:val="04A0" w:firstRow="1" w:lastRow="0" w:firstColumn="1" w:lastColumn="0" w:noHBand="0" w:noVBand="1"/>
      </w:tblPr>
      <w:tblGrid>
        <w:gridCol w:w="1838"/>
        <w:gridCol w:w="1134"/>
        <w:gridCol w:w="5522"/>
      </w:tblGrid>
      <w:tr w:rsidR="002C32A8" w14:paraId="31327353" w14:textId="77777777" w:rsidTr="000511F7">
        <w:tc>
          <w:tcPr>
            <w:tcW w:w="1838" w:type="dxa"/>
          </w:tcPr>
          <w:p w14:paraId="3EC0C5E3"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Site</w:t>
            </w:r>
          </w:p>
        </w:tc>
        <w:tc>
          <w:tcPr>
            <w:tcW w:w="1134" w:type="dxa"/>
          </w:tcPr>
          <w:p w14:paraId="04747347"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IEMS-98</w:t>
            </w:r>
          </w:p>
        </w:tc>
        <w:tc>
          <w:tcPr>
            <w:tcW w:w="5522" w:type="dxa"/>
          </w:tcPr>
          <w:p w14:paraId="02772E28"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Earthquake effects</w:t>
            </w:r>
          </w:p>
        </w:tc>
      </w:tr>
      <w:tr w:rsidR="002C32A8" w14:paraId="6AE6EB5A" w14:textId="77777777" w:rsidTr="000511F7">
        <w:tc>
          <w:tcPr>
            <w:tcW w:w="1838" w:type="dxa"/>
          </w:tcPr>
          <w:p w14:paraId="777EF2DF"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Motril</w:t>
            </w:r>
          </w:p>
        </w:tc>
        <w:tc>
          <w:tcPr>
            <w:tcW w:w="1134" w:type="dxa"/>
          </w:tcPr>
          <w:p w14:paraId="5C383CF0"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VII-VIII</w:t>
            </w:r>
          </w:p>
        </w:tc>
        <w:tc>
          <w:tcPr>
            <w:tcW w:w="5522" w:type="dxa"/>
          </w:tcPr>
          <w:p w14:paraId="74869AA0"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Part of the building stock was damaged and part was left in ruins. Two casualties. Sea withdrawal of 22 varas (~18 m). The population left their houses for the main square in fear. The different seismic phases are described as follows: first, a strong shaking with perpendicular movement; 14-16 seconds later, trepidation for 4-5 seconds; after that, a strong undulating movement for more than 20 seconds. Total shaking lasted for 40-42 seconds. 11 aftershocks are described in the following days.</w:t>
            </w:r>
          </w:p>
        </w:tc>
      </w:tr>
      <w:tr w:rsidR="002C32A8" w14:paraId="032525C7" w14:textId="77777777" w:rsidTr="000511F7">
        <w:tc>
          <w:tcPr>
            <w:tcW w:w="1838" w:type="dxa"/>
          </w:tcPr>
          <w:p w14:paraId="37DFC605"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Almegíjar</w:t>
            </w:r>
          </w:p>
        </w:tc>
        <w:tc>
          <w:tcPr>
            <w:tcW w:w="1134" w:type="dxa"/>
          </w:tcPr>
          <w:p w14:paraId="1EBC7E11"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VII</w:t>
            </w:r>
          </w:p>
        </w:tc>
        <w:tc>
          <w:tcPr>
            <w:tcW w:w="5522" w:type="dxa"/>
          </w:tcPr>
          <w:p w14:paraId="403D1A42"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Town hall was destroyed.</w:t>
            </w:r>
          </w:p>
        </w:tc>
      </w:tr>
      <w:tr w:rsidR="002C32A8" w14:paraId="2DCF2C2E" w14:textId="77777777" w:rsidTr="000511F7">
        <w:trPr>
          <w:trHeight w:val="744"/>
        </w:trPr>
        <w:tc>
          <w:tcPr>
            <w:tcW w:w="1838" w:type="dxa"/>
          </w:tcPr>
          <w:p w14:paraId="432707ED"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Dalías</w:t>
            </w:r>
          </w:p>
        </w:tc>
        <w:tc>
          <w:tcPr>
            <w:tcW w:w="1134" w:type="dxa"/>
            <w:vMerge w:val="restart"/>
          </w:tcPr>
          <w:p w14:paraId="4B67F7A0"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w:t>
            </w:r>
          </w:p>
        </w:tc>
        <w:tc>
          <w:tcPr>
            <w:tcW w:w="5522" w:type="dxa"/>
            <w:vMerge w:val="restart"/>
          </w:tcPr>
          <w:p w14:paraId="6E938E83"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 xml:space="preserve">Four churches and several private buildings were damaged, the population left their houses and camped outside town in fear. Shaking lasted for 50 seconds. Damage was repaired more than a month afterwards. </w:t>
            </w:r>
          </w:p>
        </w:tc>
      </w:tr>
      <w:tr w:rsidR="002C32A8" w14:paraId="4976E1FA" w14:textId="77777777" w:rsidTr="000511F7">
        <w:tc>
          <w:tcPr>
            <w:tcW w:w="1838" w:type="dxa"/>
          </w:tcPr>
          <w:p w14:paraId="7FDEAC76"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Berja</w:t>
            </w:r>
          </w:p>
        </w:tc>
        <w:tc>
          <w:tcPr>
            <w:tcW w:w="1134" w:type="dxa"/>
            <w:vMerge/>
          </w:tcPr>
          <w:p w14:paraId="1C8B1D36"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p>
        </w:tc>
        <w:tc>
          <w:tcPr>
            <w:tcW w:w="5522" w:type="dxa"/>
            <w:vMerge/>
          </w:tcPr>
          <w:p w14:paraId="1FEC5B4A"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p>
        </w:tc>
      </w:tr>
      <w:tr w:rsidR="002C32A8" w14:paraId="5F90863D" w14:textId="77777777" w:rsidTr="000511F7">
        <w:tc>
          <w:tcPr>
            <w:tcW w:w="1838" w:type="dxa"/>
          </w:tcPr>
          <w:p w14:paraId="70C80138"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Adra</w:t>
            </w:r>
          </w:p>
        </w:tc>
        <w:tc>
          <w:tcPr>
            <w:tcW w:w="1134" w:type="dxa"/>
          </w:tcPr>
          <w:p w14:paraId="43E3B389"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w:t>
            </w:r>
          </w:p>
        </w:tc>
        <w:tc>
          <w:tcPr>
            <w:tcW w:w="5522" w:type="dxa"/>
          </w:tcPr>
          <w:p w14:paraId="116B61B8"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Shaking lasted for 110 seconds. The population left their houses for the streets and squares in fear. Some buildings were damaged.</w:t>
            </w:r>
          </w:p>
        </w:tc>
      </w:tr>
      <w:tr w:rsidR="002C32A8" w14:paraId="0FE6521D" w14:textId="77777777" w:rsidTr="000511F7">
        <w:tc>
          <w:tcPr>
            <w:tcW w:w="1838" w:type="dxa"/>
          </w:tcPr>
          <w:p w14:paraId="467ACD6B"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Roquetas</w:t>
            </w:r>
          </w:p>
        </w:tc>
        <w:tc>
          <w:tcPr>
            <w:tcW w:w="1134" w:type="dxa"/>
          </w:tcPr>
          <w:p w14:paraId="702753FD"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w:t>
            </w:r>
          </w:p>
        </w:tc>
        <w:tc>
          <w:tcPr>
            <w:tcW w:w="5522" w:type="dxa"/>
          </w:tcPr>
          <w:p w14:paraId="2FCE141C"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 xml:space="preserve">The ceiling of the lye storehouse was razed. </w:t>
            </w:r>
          </w:p>
        </w:tc>
      </w:tr>
      <w:tr w:rsidR="002C32A8" w14:paraId="4904647B" w14:textId="77777777" w:rsidTr="000511F7">
        <w:tc>
          <w:tcPr>
            <w:tcW w:w="1838" w:type="dxa"/>
          </w:tcPr>
          <w:p w14:paraId="11E8D125"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Almería</w:t>
            </w:r>
          </w:p>
        </w:tc>
        <w:tc>
          <w:tcPr>
            <w:tcW w:w="1134" w:type="dxa"/>
          </w:tcPr>
          <w:p w14:paraId="2BAC2B2B"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w:t>
            </w:r>
          </w:p>
        </w:tc>
        <w:tc>
          <w:tcPr>
            <w:tcW w:w="5522" w:type="dxa"/>
          </w:tcPr>
          <w:p w14:paraId="0700E957"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Generalized damage to the whole building stock. Shaking lasted for 30 seconds. No casualties.</w:t>
            </w:r>
          </w:p>
        </w:tc>
      </w:tr>
      <w:tr w:rsidR="002C32A8" w14:paraId="1999C0A7" w14:textId="77777777" w:rsidTr="000511F7">
        <w:tc>
          <w:tcPr>
            <w:tcW w:w="1838" w:type="dxa"/>
          </w:tcPr>
          <w:p w14:paraId="488F8D2A"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Málaga</w:t>
            </w:r>
          </w:p>
        </w:tc>
        <w:tc>
          <w:tcPr>
            <w:tcW w:w="1134" w:type="dxa"/>
          </w:tcPr>
          <w:p w14:paraId="46274CDD"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VI</w:t>
            </w:r>
          </w:p>
        </w:tc>
        <w:tc>
          <w:tcPr>
            <w:tcW w:w="5522" w:type="dxa"/>
          </w:tcPr>
          <w:p w14:paraId="6CBC947F"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Population left their houses for the streets and squares in fear.</w:t>
            </w:r>
          </w:p>
        </w:tc>
      </w:tr>
      <w:tr w:rsidR="002C32A8" w14:paraId="3FC43571" w14:textId="77777777" w:rsidTr="000511F7">
        <w:tc>
          <w:tcPr>
            <w:tcW w:w="1838" w:type="dxa"/>
          </w:tcPr>
          <w:p w14:paraId="3A808B87"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Gibraltar</w:t>
            </w:r>
          </w:p>
        </w:tc>
        <w:tc>
          <w:tcPr>
            <w:tcW w:w="1134" w:type="dxa"/>
          </w:tcPr>
          <w:p w14:paraId="7075911B"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V</w:t>
            </w:r>
          </w:p>
        </w:tc>
        <w:tc>
          <w:tcPr>
            <w:tcW w:w="5522" w:type="dxa"/>
          </w:tcPr>
          <w:p w14:paraId="694CBB8E" w14:textId="77777777" w:rsidR="002C32A8" w:rsidRPr="002C32A8" w:rsidRDefault="002C32A8" w:rsidP="002C32A8">
            <w:pPr>
              <w:pStyle w:val="TableContents"/>
              <w:rPr>
                <w:rFonts w:ascii="Liberation Serif" w:eastAsia="AR PL SungtiL GB" w:hAnsi="Liberation Serif" w:cs="David CLM"/>
                <w:kern w:val="3"/>
                <w:sz w:val="24"/>
                <w:szCs w:val="24"/>
                <w:lang w:eastAsia="zh-CN" w:bidi="he-IL"/>
              </w:rPr>
            </w:pPr>
            <w:r w:rsidRPr="002C32A8">
              <w:rPr>
                <w:rFonts w:ascii="Liberation Serif" w:eastAsia="AR PL SungtiL GB" w:hAnsi="Liberation Serif" w:cs="David CLM"/>
                <w:kern w:val="3"/>
                <w:sz w:val="24"/>
                <w:szCs w:val="24"/>
                <w:lang w:eastAsia="zh-CN" w:bidi="he-IL"/>
              </w:rPr>
              <w:t>Shaken furniture inside the houses, loss of balance from standing people.</w:t>
            </w:r>
          </w:p>
        </w:tc>
      </w:tr>
    </w:tbl>
    <w:p w14:paraId="23C21E5C" w14:textId="50932BF9" w:rsidR="00B45A13" w:rsidRDefault="00B45A13" w:rsidP="00B45A13">
      <w:pPr>
        <w:pStyle w:val="Descripcin"/>
      </w:pPr>
      <w:r>
        <w:rPr>
          <w:b/>
          <w:bCs/>
        </w:rPr>
        <w:t xml:space="preserve">Table </w:t>
      </w:r>
      <w:r w:rsidR="00C5684D">
        <w:rPr>
          <w:b/>
          <w:bCs/>
        </w:rPr>
        <w:t>S</w:t>
      </w:r>
      <w:r>
        <w:rPr>
          <w:b/>
          <w:bCs/>
        </w:rPr>
        <w:t>1.</w:t>
      </w:r>
      <w:r>
        <w:t xml:space="preserve"> </w:t>
      </w:r>
      <w:r w:rsidRPr="00B45A13">
        <w:t>Translation from Spanish of earthquake effects reports for different sites studied by Murphy Corella, (2019) and the intensity values he initially assigned to each site.</w:t>
      </w:r>
    </w:p>
    <w:p w14:paraId="4CE59F3D" w14:textId="1AB1B0A0" w:rsidR="00B45A13" w:rsidRPr="00B45A13" w:rsidRDefault="00B45A13" w:rsidP="00B45A13">
      <w:pPr>
        <w:pStyle w:val="Ttulo1"/>
        <w:rPr>
          <w:rFonts w:cs="Times New Roman"/>
        </w:rPr>
      </w:pPr>
      <w:r>
        <w:rPr>
          <w:rFonts w:cs="Times New Roman"/>
        </w:rPr>
        <w:t>S2. Failed Boxer calculations</w:t>
      </w:r>
    </w:p>
    <w:p w14:paraId="0D081104" w14:textId="77777777" w:rsidR="00B45A13" w:rsidRDefault="00B45A13" w:rsidP="00B45A13">
      <w:pPr>
        <w:pStyle w:val="Textbody"/>
      </w:pPr>
      <w:r>
        <w:t xml:space="preserve">The boxer has been calculated using the Boxer software </w:t>
      </w:r>
      <w:r>
        <w:fldChar w:fldCharType="begin" w:fldLock="1"/>
      </w:r>
      <w:r>
        <w:instrText>ADDIN CSL_CITATION {"citationItems":[{"id":"ITEM-1","itemData":{"ISSN":"00371106","abstract":"We present a method that uses macroseismic intensity data to assess the location, physical dimensions, and orientation of the source of large historical earthquakes. Intensity data contain a great deal of information that can be used to constrain the essential characteristics of the seismic source. In particular, both the seismological theory and its practice suggest that the orientation of the source of significant earthquakes is reflected in the elongation of the associated damage pattern. A plausible and easily manageable way of describing a seismic source is by representing it as an oriented rectangle, the length and width of which are obtained from moment magnitude through empirical relationships. This rectangle is meant to represent either the actual surface projection of the seismogenic fault or, at least, the projection of the portion of the Earth crust where a given seismic source is likely to be located. The systematic application of this method to all the M &gt; 5.5 earthquakes that occurred in the central and southern Apennines (Italy) in the past four centuries returned encouraging results that compare well with existing instrumental, direct geological, and geodynamic evidence. The method is quite stable for different choices of the algorithm parameters and provides elongation directions that in most cases can be shown to be statistically significant. In particular, the resulting pattern of source orientations is rather homogeneous, showing a consistent Apennines-parallel trend that agrees well with the NE-SW extension style of deformation active in the central and southern portions of the Italian peninsula.","author":[{"dropping-particle":"","family":"Gasperini","given":"Paolo","non-dropping-particle":"","parse-names":false,"suffix":""},{"dropping-particle":"","family":"Bernardini","given":"Filippo","non-dropping-particle":"","parse-names":false,"suffix":""},{"dropping-particle":"","family":"Valensise","given":"Gianluca","non-dropping-particle":"","parse-names":false,"suffix":""},{"dropping-particle":"","family":"Boschi","given":"Enzo","non-dropping-particle":"","parse-names":false,"suffix":""}],"container-title":"Bulletin of the Seismological Society of America","id":"ITEM-1","issue":"1","issued":{"date-parts":[["1999"]]},"page":"94-110","title":"Defining seismogenic sources from historical earthquake felt reports","type":"article-journal","volume":"89"},"uris":["http://www.mendeley.com/documents/?uuid=1a18fe59-98cf-45d2-b318-c38a8d1392cc"]},{"id":"ITEM-2","itemData":{"DOI":"10.1785/0120090330","ISSN":"00371106","abstract":"We herein describe new methods for computing the quantitative parameters of earthquakes using macroseismic data and the uncertainties associated with these parameters. The methods allow for the location of epicenters that are offshore or that have no intensities assigned to any points in the epicentral region by maximizing the likelihood function of an attenuation equation with observed intensity data. In the most favorable cases, such an approach also allows the estimation of the source depth and the local attenuation coefficients. We compute the parameter uncertainties in two ways: (1) using formal methods, such as the inversion of the Hessian of the log-likelihood function at its maximum, and (2) by using bootstrap simulations. We tested the performance of our methods by comparison with reliable instrumental hypocenters of onshore earthquakes, and found a reasonable agreement with the epicentral locations (within 10-15 km for more than 70% of cases) but not with the hypocentral depths, for which our results are generally underestimated by a factor of 2 or more and are poorly related to instrumental estimates. This finding indicates that the use of macroseismic depths in seismic hazard and seismotectonic investigations should be treated with caution. We nevertheless found good agreement (within 10°-15°) between the fault-trace orientations that were computed using the macroseismic data and the associated focal mechanisms of earthquakes with Mw ≥5.7. The surprising accuracy of the macroseismic orientations obtained using this method could in some cases allow the true fault to be inferred between the two conjugate planes of a given focal mechanism.","author":[{"dropping-particle":"","family":"Gasperini","given":"Paolo.","non-dropping-particle":"","parse-names":false,"suffix":""},{"dropping-particle":"","family":"Vannucci","given":"G.","non-dropping-particle":"","parse-names":false,"suffix":""},{"dropping-particle":"","family":"Tripone","given":"D.","non-dropping-particle":"","parse-names":false,"suffix":""},{"dropping-particle":"","family":"Boschi","given":"E.","non-dropping-particle":"","parse-names":false,"suffix":""}],"container-title":"Bulletin of the Seismological Society of America","id":"ITEM-2","issue":"5 A","issued":{"date-parts":[["2010"]]},"page":"2035-2066","title":"The location and sizing of historical earthquakes using the attenuation of macroseismic intensity with distance","type":"article-journal","volume":"100"},"uris":["http://www.mendeley.com/documents/?uuid=7060c60f-a9d3-49b8-b8c9-954168e51eaa"]}],"mendeley":{"formattedCitation":"(Gasperini et al., 1999, 2010)","plainTextFormattedCitation":"(Gasperini et al., 1999, 2010)","previouslyFormattedCitation":"(Gasperini et al., 1999, 2010)"},"properties":{"noteIndex":0},"schema":"https://github.com/citation-style-language/schema/raw/master/csl-citation.json"}</w:instrText>
      </w:r>
      <w:r>
        <w:fldChar w:fldCharType="separate"/>
      </w:r>
      <w:r>
        <w:rPr>
          <w:noProof/>
        </w:rPr>
        <w:t>(Gasperini et al., 1999, 2010)</w:t>
      </w:r>
      <w:r>
        <w:fldChar w:fldCharType="end"/>
      </w:r>
      <w:r>
        <w:t xml:space="preserve"> calibrated with </w:t>
      </w:r>
      <w:r>
        <w:fldChar w:fldCharType="begin" w:fldLock="1"/>
      </w:r>
      <w:r>
        <w:instrText>ADDIN CSL_CITATION {"citationItems":[{"id":"ITEM-1","itemData":{"DOI":"10.1007/s10518-014-9672-3","ISSN":"15731456","abstract":"This paper describes how the earthquake parameters of historical earthquakes have been determined in Europe from macroseismic data by means of the so-called “Boxer” method, in the frame of the European Commission 2009–2012 Project SHARE (Seismic Hazard Harmonization in Europe). The problems related to the assessment of magnitude are described with more detail; the methodological issues are developed with special reference to the “stable continental region”. The paper first describes how the coefficients of the Boxer method are determined in five tectonic regions of the European area from the relevant calibration data sets, and discusses the problems dealt with while performing this task. Then it describes how the results have been checked against data different from those used in the previous phase. Finally, the application of the new coefficients to nearly a thousand of European earthquakes before 1900 is described. Stressing that, for the first time in Europe, homogeneous results have been obtained at such a large scale, the final part of the paper is devoted to analyse such results, with special reference to the general trends and to some case-histories.","author":[{"dropping-particle":"","family":"Gomez-Capera","given":"A. A.","non-dropping-particle":"","parse-names":false,"suffix":""},{"dropping-particle":"","family":"Rovida","given":"A.","non-dropping-particle":"","parse-names":false,"suffix":""},{"dropping-particle":"","family":"Gasperini","given":"P.","non-dropping-particle":"","parse-names":false,"suffix":""},{"dropping-particle":"","family":"Stucchi","given":"M.","non-dropping-particle":"","parse-names":false,"suffix":""},{"dropping-particle":"","family":"Viganò","given":"D.","non-dropping-particle":"","parse-names":false,"suffix":""}],"container-title":"Bulletin of Earthquake Engineering","id":"ITEM-1","issue":"5","issued":{"date-parts":[["2014"]]},"page":"1249-1280","title":"The determination of earthquake location and magnitude from macroseismic data in Europe","type":"article-journal","volume":"13"},"uris":["http://www.mendeley.com/documents/?uuid=ac745397-a358-4b37-a7ae-16e51b0ae699"]}],"mendeley":{"formattedCitation":"(Gomez-Capera et al., 2014)","manualFormatting":"Gomez-Capera et al. (2014)","plainTextFormattedCitation":"(Gomez-Capera et al., 2014)","previouslyFormattedCitation":"(Gomez-Capera et al., 2014)"},"properties":{"noteIndex":0},"schema":"https://github.com/citation-style-language/schema/raw/master/csl-citation.json"}</w:instrText>
      </w:r>
      <w:r>
        <w:fldChar w:fldCharType="separate"/>
      </w:r>
      <w:r>
        <w:rPr>
          <w:noProof/>
        </w:rPr>
        <w:t>Gomez-Capera et al. (2014)</w:t>
      </w:r>
      <w:r>
        <w:fldChar w:fldCharType="end"/>
      </w:r>
      <w:r>
        <w:t>’s coefficients for the Betics region.</w:t>
      </w:r>
    </w:p>
    <w:p w14:paraId="615243AE" w14:textId="60E32A90" w:rsidR="00B45A13" w:rsidRDefault="00B45A13" w:rsidP="00B45A13">
      <w:pPr>
        <w:pStyle w:val="Textbody"/>
      </w:pPr>
      <w:r>
        <w:rPr>
          <w:noProof/>
        </w:rPr>
        <w:lastRenderedPageBreak/>
        <w:drawing>
          <wp:anchor distT="0" distB="0" distL="114300" distR="114300" simplePos="0" relativeHeight="251659264" behindDoc="0" locked="0" layoutInCell="1" allowOverlap="1" wp14:anchorId="30E7BF68" wp14:editId="55F1C4E8">
            <wp:simplePos x="0" y="0"/>
            <wp:positionH relativeFrom="margin">
              <wp:align>center</wp:align>
            </wp:positionH>
            <wp:positionV relativeFrom="paragraph">
              <wp:posOffset>2476500</wp:posOffset>
            </wp:positionV>
            <wp:extent cx="5108575" cy="5168339"/>
            <wp:effectExtent l="0" t="0" r="0" b="0"/>
            <wp:wrapTopAndBottom/>
            <wp:docPr id="22"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08575" cy="5168339"/>
                    </a:xfrm>
                    <a:prstGeom prst="rect">
                      <a:avLst/>
                    </a:prstGeom>
                  </pic:spPr>
                </pic:pic>
              </a:graphicData>
            </a:graphic>
          </wp:anchor>
        </w:drawing>
      </w:r>
      <w:r>
        <w:t xml:space="preserve">The boxer calculated with Gasperini’s method is presented as a red rectangle in Figure </w:t>
      </w:r>
      <w:r w:rsidR="00C5684D">
        <w:t>S</w:t>
      </w:r>
      <w:r>
        <w:t>1. The boxer has an area of 81 km</w:t>
      </w:r>
      <w:r w:rsidRPr="00B45A13">
        <w:t>2</w:t>
      </w:r>
      <w:r>
        <w:t xml:space="preserve"> and strikes N</w:t>
      </w:r>
      <w:r w:rsidRPr="00B45A13">
        <w:t>93º</w:t>
      </w:r>
      <w:r>
        <w:t xml:space="preserve">E. The computed epicenter is located at 36.7499ºN, 3.2436ºW, which is 38 km away from the epicenter proposed by </w:t>
      </w:r>
      <w:r>
        <w:fldChar w:fldCharType="begin" w:fldLock="1"/>
      </w:r>
      <w:r>
        <w:instrText>ADDIN CSL_CITATION {"citationItems":[{"id":"ITEM-1","itemData":{"DOI":"10.1007/s11069-018-3263-6","ISSN":"15730840","abstract":"The town of Adra (Almeria Province, South-Eastern Spain) has been seriously affected by historical damaging earthquakes in 1487, 1522, two in 1804 and in 1910 with epicentres offshore in the Alboran Sea that reached onshore an estimated maximum intensity of VIII, IX, VIII, VIII–IX and VII–VIII, respectively. Additionally, in the instrumental period, several seismic series near the city affected it with moderate structural damages like the recent one of 1993–1994, when two main earthquakes of magnitude 5.0 and 4.9 cause serious damage in mid-rise reinforced concrete buildings sited on soft soils. Consequently, the town can be affected by moderate to destructive earthquakes, so this paper provides an initial assessment of the potential impact and the consequences (in terms of structural damage, economic and human losses) if the 1910 Adra earthquake hit the city again. The results point out that buildings damage are mainly concentrated in the soft soils areas of the city and that the non-engineered buildings, especially the oldest one, have the highest vulnerability, and therefore, the structural damage is higher, while seismically designed structures show a better behaviour showing less damage. Additionally, mid- and high-rise buildings have more extensive damage than low-rise buildings. Besides, the reinforced concrete buildings with waffled-slab floors, built previously to the first Spanish seismic code (NCSE-94), show, also, important damage. In summary, we have obtained that 474 ± 160 and 973 ± 78 buildings will be affected by complete and extensive damage, respectively, that is around 40% of the buildings in the city.","author":[{"dropping-particle":"","family":"Molina","given":"S.","non-dropping-particle":"","parse-names":false,"suffix":""},{"dropping-particle":"","family":"Navarro","given":"M.","non-dropping-particle":"","parse-names":false,"suffix":""},{"dropping-particle":"","family":"Martínez-Pagan","given":"P.","non-dropping-particle":"","parse-names":false,"suffix":""},{"dropping-particle":"","family":"Pérez-Cuevas","given":"J.","non-dropping-particle":"","parse-names":false,"suffix":""},{"dropping-particle":"","family":"Vidal","given":"F.","non-dropping-particle":"","parse-names":false,"suffix":""},{"dropping-particle":"","family":"Navarro","given":"D.","non-dropping-particle":"","parse-names":false,"suffix":""},{"dropping-particle":"","family":"Agea-Medina","given":"N.","non-dropping-particle":"","parse-names":false,"suffix":""}],"container-title":"Natural Hazards","id":"ITEM-1","issue":"3","issued":{"date-parts":[["2018"]]},"page":"1547-1571","title":"Potential damage and losses in a repeat of the 1910 Adra (Southern Spain) earthquake","type":"article-journal","volume":"92"},"uris":["http://www.mendeley.com/documents/?uuid=3bb17a8b-e86f-42e5-bc73-ce1bb0a46b1c"]}],"mendeley":{"formattedCitation":"(Molina et al., 2018)","manualFormatting":"Molina et al. (2018)","plainTextFormattedCitation":"(Molina et al., 2018)","previouslyFormattedCitation":"(Molina et al., 2018)"},"properties":{"noteIndex":0},"schema":"https://github.com/citation-style-language/schema/raw/master/csl-citation.json"}</w:instrText>
      </w:r>
      <w:r>
        <w:fldChar w:fldCharType="separate"/>
      </w:r>
      <w:r>
        <w:rPr>
          <w:noProof/>
        </w:rPr>
        <w:t>Molina et al. (2018)</w:t>
      </w:r>
      <w:r>
        <w:fldChar w:fldCharType="end"/>
      </w:r>
      <w:r>
        <w:t xml:space="preserve"> and 83 km away from the one proposed by </w:t>
      </w:r>
      <w:r>
        <w:fldChar w:fldCharType="begin" w:fldLock="1"/>
      </w:r>
      <w:r>
        <w:instrText>ADDIN CSL_CITATION {"citationItems":[{"id":"ITEM-1","itemData":{"ISBN":"84-95.172-37-2","author":[{"dropping-particle":"","family":"Martínez Solares","given":"José Manuel","non-dropping-particle":"","parse-names":false,"suffix":""},{"dropping-particle":"","family":"Mezcua Rodríguez","given":"Julio","non-dropping-particle":"","parse-names":false,"suffix":""}],"id":"ITEM-1","issued":{"date-parts":[["2002"]]},"number-of-pages":"253","publisher":"Instituto Geográfico Nacional","title":"Catálogo sísmico de la Península Ibérica (880 a. C. - 1900)","type":"book"},"uris":["http://www.mendeley.com/documents/?uuid=3e274937-0973-4594-8baa-6f332ce8e5bf"]}],"mendeley":{"formattedCitation":"(Martínez Solares &amp; Mezcua Rodríguez, 2002)","manualFormatting":"Martínez Solares &amp; Mezcua Rodríguez (2002)","plainTextFormattedCitation":"(Martínez Solares &amp; Mezcua Rodríguez, 2002)","previouslyFormattedCitation":"(Martínez Solares &amp; Mezcua Rodríguez, 2002)"},"properties":{"noteIndex":0},"schema":"https://github.com/citation-style-language/schema/raw/master/csl-citation.json"}</w:instrText>
      </w:r>
      <w:r>
        <w:fldChar w:fldCharType="separate"/>
      </w:r>
      <w:r>
        <w:rPr>
          <w:noProof/>
        </w:rPr>
        <w:t>Martínez Solares &amp; Mezcua Rodríguez (2002)</w:t>
      </w:r>
      <w:r>
        <w:fldChar w:fldCharType="end"/>
      </w:r>
      <w:r>
        <w:t>. Magnitude estimated by Boxer is M</w:t>
      </w:r>
      <w:r w:rsidRPr="00B45A13">
        <w:t>w</w:t>
      </w:r>
      <w:r>
        <w:t xml:space="preserve"> 5.88±0.10, which is lower than both M</w:t>
      </w:r>
      <w:r w:rsidRPr="00B45A13">
        <w:t>w</w:t>
      </w:r>
      <w:r>
        <w:t xml:space="preserve"> 6.3 assigned by </w:t>
      </w:r>
      <w:r>
        <w:fldChar w:fldCharType="begin" w:fldLock="1"/>
      </w:r>
      <w:r>
        <w:instrText>ADDIN CSL_CITATION {"citationItems":[{"id":"ITEM-1","itemData":{"DOI":"10.1785/0220120097","ISSN":"08950695","author":[{"dropping-particle":"","family":"Mezcua","given":"J.","non-dropping-particle":"","parse-names":false,"suffix":""},{"dropping-particle":"","family":"Rueda","given":"J.","non-dropping-particle":"","parse-names":false,"suffix":""},{"dropping-particle":"","family":"García Blanco","given":"R. M.","non-dropping-particle":"","parse-names":false,"suffix":""}],"container</w:instrText>
      </w:r>
      <w:r w:rsidRPr="00B45A13">
        <w:instrText>-title":"Seismological Research Letters","id":"ITEM-1","issue":"1","issued":{"date-parts":[["2013"]]},"page":"9-18","title":"Iberian peninsula historical seismicity revisited: An intensity data bank","type":"article-journal","volume":"84"},"uris":["http://www.mendeley.com/documents/?uuid=588d855b-a2d0-4897-9977-83830c13ad4b"]},{"id":"ITEM-2","itemData":{"author":[{"dropping-particle":"","family":"Posadas","given":"A.","non-dropping-particle":"","parse-names":false,"suffix":""},{"dropping-particle":"","family":"Vidal","given":"F.","non-dropping-particle":"","parse-names":false,"suffix":""},{"dropping-particle":"","family":"Navarro","given":"M.","non-dropping-particle":"","parse-names":false,"suffix":""}],"container-title":"Proceedings of the first Europen conference on earthquake engineering and seismology","id":"ITEM-2","issued":{"date-parts":[["2006"]]},"page":"1-8","title":"The M = 6.3 Earthquake of January 13 (1804) in Motril (Spain)","type":"article-journal","volume":"91"},"uris":["http://www.mendeley.com/documents/?uuid=d6b07def-e248-4d29-9cb2-a9172644ec8f"]}],"mendeley":{"formattedCitation":"(Mezcua et al., 2013; Posadas et al., 2006)","manualFormatting":"Mezcua et al. (2013) and Posadas et al. (2006)","plainTextFormattedCitation":"(Mezcua et al., 2013; Posadas et al., 2006)","previouslyFormattedCitation":"(Mezcua et al., 2013; Posadas et al., 2006)"},"properties":{"noteIndex":0},"schema":"https://github.com/citation-style-language/schema/raw/master/csl-citation.json"}</w:instrText>
      </w:r>
      <w:r>
        <w:fldChar w:fldCharType="separate"/>
      </w:r>
      <w:r w:rsidRPr="00B45A13">
        <w:rPr>
          <w:noProof/>
        </w:rPr>
        <w:t>Mezcua et al. (2013) and Posadas et al. (2006)</w:t>
      </w:r>
      <w:r>
        <w:fldChar w:fldCharType="end"/>
      </w:r>
      <w:r w:rsidRPr="00B45A13">
        <w:t xml:space="preserve"> and Mw 6.7 </w:t>
      </w:r>
      <w:r w:rsidRPr="00FC38A8">
        <w:t>calculated by</w:t>
      </w:r>
      <w:r w:rsidRPr="00B45A13">
        <w:t xml:space="preserve"> </w:t>
      </w:r>
      <w:r>
        <w:fldChar w:fldCharType="begin" w:fldLock="1"/>
      </w:r>
      <w:r w:rsidRPr="00B45A13">
        <w:instrText>ADDIN CSL_CITATION {"citationItems":[{"id":"ITEM-1","itemData":{"ISBN":"84-95.172-37-2","author":[{"dropping-particle":"","family":"Martínez Solares","given":"José Manuel","non-dropping-particle":"","parse-names":false,"suffix":""},{"dropping-particle":"","family":"Mezcua Rodríguez","given":"Julio","non-dropping-particle":"","parse-names":false,"suffix":""}],"id":"ITEM-1","issued":{"date-parts":[["2002"]]},"number-of-pages":"253","publisher":"Instituto Geográfico Nacional","title":"Catálogo sísmico de la Península Ibérica (880 a. C. - 1900)","type":"book"},"uris":["http://www.mendeley.com/documents/?uuid=3e274937-0973-4594-8baa-6f332ce8e5bf"]}],"mendeley":{"formattedCitation":"(Martínez Solares &amp; Mezcua Rodríguez, 2002)","manualFormatting":"Martínez Solares &amp; Mezcua Rodríguez (2002)","plainTextFormattedCitation":"(Martínez Solares &amp; Mezcua Rodríguez, 2002)","previouslyFormattedCitation":"(Martínez Solares &amp; Mezcua Rodríguez, 2002)"},"properties":{"noteIndex":0},"schema":"https://github.com/citation-style-language/schema/raw/master/csl-citation.json"}</w:instrText>
      </w:r>
      <w:r>
        <w:fldChar w:fldCharType="separate"/>
      </w:r>
      <w:r w:rsidRPr="00B45A13">
        <w:rPr>
          <w:noProof/>
        </w:rPr>
        <w:t>Martínez Solares &amp; Mezcua Rodríguez (2002)</w:t>
      </w:r>
      <w:r>
        <w:fldChar w:fldCharType="end"/>
      </w:r>
      <w:r w:rsidRPr="00B45A13">
        <w:t>.</w:t>
      </w:r>
    </w:p>
    <w:p w14:paraId="7C150044" w14:textId="6DDEFA05" w:rsidR="00B45A13" w:rsidRDefault="00B45A13" w:rsidP="00B45A13">
      <w:pPr>
        <w:pStyle w:val="Textbody"/>
      </w:pPr>
      <w:r>
        <w:rPr>
          <w:b/>
          <w:bCs/>
        </w:rPr>
        <w:t xml:space="preserve">Figure </w:t>
      </w:r>
      <w:r w:rsidR="00C5684D">
        <w:rPr>
          <w:b/>
          <w:bCs/>
        </w:rPr>
        <w:t>S</w:t>
      </w:r>
      <w:r>
        <w:rPr>
          <w:b/>
          <w:bCs/>
        </w:rPr>
        <w:t>1.</w:t>
      </w:r>
      <w:r>
        <w:t xml:space="preserve"> </w:t>
      </w:r>
      <w:r w:rsidRPr="00B45A13">
        <w:t xml:space="preserve">Boxer calculation result and known active faults in the area. Molina18: epicenter located by </w:t>
      </w:r>
      <w:r w:rsidRPr="00B45A13">
        <w:fldChar w:fldCharType="begin" w:fldLock="1"/>
      </w:r>
      <w:r w:rsidRPr="00B45A13">
        <w:instrText>ADDIN CSL_CITATION {"citationItems":[{"id":"ITEM-1","itemData":{"author":[{"dropping-particle":"","family":"Posadas","given":"A.","non-dropping-particle":"","parse-names":false,"suffix":""},{"dropping-particle":"","family":"Vidal","given":"F.","non-dropping-particle":"","parse-names":false,"suffix":""},{"dropping-particle":"","family":"Navarro","given":"M.","non-dropping-particle":"","parse-names":false,"suffix":""}],"container-title":"Proceedings of the first Europen conference on earthquake engineering and seismology","id":"ITEM-1","issued":{"date-parts":[["2006"]]},"page":"1-8","title":"The M = 6.3 Earthquake of January 13 (1804) in Motril (Spain)","type":"article-journal","volume":"91"},"uris":["http://www.mendeley.com/documents/?uuid=d6b07def-e248-4d29-9cb2-a9172644ec8f"]},{"id":"ITEM-2","itemData":{"DOI":"10.1785/0220120097","ISSN":"08950695","author":[{"dropping-particle":"","family":"Mezcua","given":"J.","non-dropping-particle":"","parse-names":false,"suffix":""},{"dropping-particle":"","family":"Rueda","given":"J.","non-dropping-particle":"","parse-names":false,"suffix":""},{"dropping-particle":"","family":"García Blanco","given":"R. M.","non-dropping-particle":"","parse-names":false,"suffix":""}],"container-title":"Seismological Research Letters","id":"ITEM-2","issue":"1","issued":{"date-parts":[["2013"]]},"page":"9-18","title":"Iberian peninsula historical seismicity revisited: An intensity data bank","type":"article-journal","volume":"84"},"uris":["http://www.mendeley.com/documents/?uuid=588d855b-a2d0-4897-9977-83830c13ad4b"]}],"mendeley":{"formattedCitation":"(Mezcua et al., 2013; Posadas et al., 2006)","manualFormatting":"Molina et al. (2018)","plainTextFormattedCitation":"(Mezcua et al., 2013; Posadas et al., 2006)","previouslyFormattedCitation":"(Mezcua et al., 2013; Posadas et al., 2006)"},"properties":{"noteIndex":0},"schema":"https://github.com/citation-style-language/schema/raw/master/csl-citation.json"}</w:instrText>
      </w:r>
      <w:r w:rsidRPr="00B45A13">
        <w:fldChar w:fldCharType="separate"/>
      </w:r>
      <w:r w:rsidRPr="00B45A13">
        <w:rPr>
          <w:noProof/>
        </w:rPr>
        <w:t>Molina et al. (2018)</w:t>
      </w:r>
      <w:r w:rsidRPr="00B45A13">
        <w:fldChar w:fldCharType="end"/>
      </w:r>
      <w:r w:rsidRPr="00B45A13">
        <w:t xml:space="preserve">. IGN02: epicenter located by </w:t>
      </w:r>
      <w:r w:rsidRPr="00B45A13">
        <w:fldChar w:fldCharType="begin" w:fldLock="1"/>
      </w:r>
      <w:r w:rsidRPr="00B45A13">
        <w:instrText>ADDIN CSL_CITATION {"citationItems":[{"id":"ITEM-1","itemData":{"ISBN":"84-95.172-37-2","author":[{"dropping-particle":"","family":"Martínez Solares","given":"José Manuel","non-dropping-particle":"","parse-names":false,"suffix":""},{"dropping-particle":"","family":"Mezcua Rodríguez","given":"Julio","non-dropping-particle":"","parse-names":false,"suffix":""}],"id":"ITEM-1","issued":{"date-parts":[["2002"]]},"number-of-pages":"253","publisher":"Instituto Geográfico Nacional","title":"Catálogo sísmico de la Península Ibérica (880 a. C. - 1900)","type":"book"},"uris":["http://www.mendeley.com/documents/?uuid=3e274937-0973-4594-8baa-6f332ce8e5bf"]}],"mendeley":{"formattedCitation":"(Martínez Solares &amp; Mezcua Rodríguez, 2002)","manualFormatting":"Martínez Solares &amp; Mezcua Rodríguez (2002)","plainTextFormattedCitation":"(Martínez Solares &amp; Mezcua Rodríguez, 2002)","previouslyFormattedCitation":"(Martínez Solares &amp; Mezcua Rodríguez, 2002)"},"properties":{"noteIndex":0},"schema":"https://github.com/citation-style-language/schema/raw/master/csl-citation.json"}</w:instrText>
      </w:r>
      <w:r w:rsidRPr="00B45A13">
        <w:fldChar w:fldCharType="separate"/>
      </w:r>
      <w:r w:rsidRPr="00B45A13">
        <w:rPr>
          <w:noProof/>
        </w:rPr>
        <w:t xml:space="preserve">Martínez Solares &amp; Mezcua </w:t>
      </w:r>
      <w:r w:rsidRPr="00B45A13">
        <w:rPr>
          <w:noProof/>
        </w:rPr>
        <w:lastRenderedPageBreak/>
        <w:t>Rodríguez (2002)</w:t>
      </w:r>
      <w:r w:rsidRPr="00B45A13">
        <w:fldChar w:fldCharType="end"/>
      </w:r>
      <w:r w:rsidRPr="00B45A13">
        <w:t>. AIF: Al-Idrissi Fault. AF: Adra Fault. AvF: Averroes Fault. BF: Balanegra Fault. CF: Carboneras Fault. DF: Djibouti Fault. LLAF: Llano del Águila Fault. LVF: Loma del Viento Fault. NSF: North-South Faults. PEF: Punta Entinas Fault.</w:t>
      </w:r>
    </w:p>
    <w:p w14:paraId="2CCF5A6F" w14:textId="05705A2A" w:rsidR="00B45A13" w:rsidRDefault="00B45A13" w:rsidP="00B45A13">
      <w:pPr>
        <w:pStyle w:val="Ttulo1"/>
        <w:rPr>
          <w:rFonts w:cs="Times New Roman"/>
        </w:rPr>
      </w:pPr>
      <w:r>
        <w:rPr>
          <w:noProof/>
        </w:rPr>
        <w:lastRenderedPageBreak/>
        <w:drawing>
          <wp:anchor distT="0" distB="0" distL="114300" distR="114300" simplePos="0" relativeHeight="251660288" behindDoc="0" locked="0" layoutInCell="1" allowOverlap="1" wp14:anchorId="04E60620" wp14:editId="423FB7A1">
            <wp:simplePos x="0" y="0"/>
            <wp:positionH relativeFrom="margin">
              <wp:align>center</wp:align>
            </wp:positionH>
            <wp:positionV relativeFrom="paragraph">
              <wp:posOffset>525780</wp:posOffset>
            </wp:positionV>
            <wp:extent cx="4655185" cy="6567170"/>
            <wp:effectExtent l="0" t="0" r="0" b="5080"/>
            <wp:wrapTopAndBottom/>
            <wp:docPr id="1246454934" name="Image13" descr="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54934" name="Image13" descr="Calendario&#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655185" cy="6567170"/>
                    </a:xfrm>
                    <a:prstGeom prst="rect">
                      <a:avLst/>
                    </a:prstGeom>
                  </pic:spPr>
                </pic:pic>
              </a:graphicData>
            </a:graphic>
          </wp:anchor>
        </w:drawing>
      </w:r>
      <w:r>
        <w:rPr>
          <w:rFonts w:cs="Times New Roman"/>
        </w:rPr>
        <w:t xml:space="preserve">S3. Failed seismic scenarios with </w:t>
      </w:r>
      <w:r>
        <w:rPr>
          <w:rFonts w:cs="Times New Roman"/>
        </w:rPr>
        <w:fldChar w:fldCharType="begin" w:fldLock="1"/>
      </w:r>
      <w:r>
        <w:rPr>
          <w:rFonts w:cs="Times New Roman"/>
        </w:rPr>
        <w:instrText>ADDIN CSL_CITATION {"citationItems":[{"id":"ITEM-1","itemData":{"DOI":"10.1193/062913EQS175M","ISSN":"87552930","abstract":"We used an expanded PEER NGA-West2 database to develop a new ground motion prediction equation (GMPE) for the average horizontal components of PGA, PGV, and 5% damped linear pseudo-absolute acceleration response spectra at 21 periods ranging from 0.01 s to 10 s. In addition to those terms included in our now superseded 2008 GMPE, we include a more-detailed hanging wall model, scaling with hypocentral depth and fault dip, regionally independent geometric attenuation, regionally dependent anelastic attenuation and site conditions, and magnitude-dependent aleatory variability. The NGA-West2 database provides better constraints on magnitude scaling and attenuation of small-magnitude earthquakes, where our 2008 GMPE was known to be biased. We consider our new GMPE to be valid for estimating horizontal ground motion from shallow crustal continental earthquakes in an active tectonic domain for rupture distances ranging from 0 km to 300 km and magnitudes ranging from 3.3 to 7.5-8.5, depending on source mechanism.","author":[{"dropping-particle":"","family":"Campbell","given":"Kenneth W.","non-dropping-particle":"","parse-names":false,"suffix":""},{"dropping-particle":"","family":"Bozorgnia","given":"Yousef","non-dropping-particle":"","parse-names":false,"suffix":""}],"container-title":"Earthquake Spectra","id":"ITEM-1","issue":"3","issued":{"date-parts":[["2014"]]},"page":"1087-1114","title":"NGA-West2 ground motion model for the average horizontal components of PGA, PGV, and 5% damped linear acceleration response spectra","type":"article-journal","volume":"30"},"uris":["http://www.mendeley.com/documents/?uuid=f8029e0f-d30c-40c3-8ee5-7ce68d68106d"]}],"mendeley":{"formattedCitation":"(Campbell &amp; Bozorgnia, 2014)","manualFormatting":"Campbell &amp; Bozorgnia (2014)","plainTextFormattedCitation":"(Campbell &amp; Bozorgnia, 2014)","previouslyFormattedCitation":"(Campbell &amp; Bozorgnia, 2014)"},"properties":{"noteIndex":0},"schema":"https://github.com/citation-style-language/schema/raw/master/csl-citation.json"}</w:instrText>
      </w:r>
      <w:r>
        <w:rPr>
          <w:rFonts w:cs="Times New Roman"/>
        </w:rPr>
        <w:fldChar w:fldCharType="separate"/>
      </w:r>
      <w:r>
        <w:rPr>
          <w:rFonts w:cs="Times New Roman"/>
          <w:noProof/>
        </w:rPr>
        <w:t>Campbell &amp; Bozorgnia (2014)</w:t>
      </w:r>
      <w:r>
        <w:rPr>
          <w:rFonts w:cs="Times New Roman"/>
        </w:rPr>
        <w:fldChar w:fldCharType="end"/>
      </w:r>
      <w:r>
        <w:rPr>
          <w:rFonts w:cs="Times New Roman"/>
        </w:rPr>
        <w:t xml:space="preserve">’s GMM and </w:t>
      </w:r>
      <w:r>
        <w:rPr>
          <w:rFonts w:cs="Times New Roman"/>
        </w:rPr>
        <w:fldChar w:fldCharType="begin" w:fldLock="1"/>
      </w:r>
      <w:r>
        <w:rPr>
          <w:rFonts w:cs="Times New Roman"/>
        </w:rPr>
        <w:instrText>ADDIN CSL_CITATION {"citationItems":[{"id":"ITEM-1","itemData":{"DOI":"10.1785/0120110156","ISBN":"0120110156","ISSN":"00371106","abstract":"We use a database of approximately 200,000 modified Mercalli intensity (MMI) observations of California earthquakes collected from USGS \"Did You Feel It?\" (DYFI) reports, along with a comparable number of peak ground-motion amplitudes from California seismic networks, to develop probabilistic relationships between MMI and peak ground velocity (PGV), peak ground acceleration (PGA), and 0.3-s, 1-s, and 3-s 5% damped pseudospectral acceleration (PSA). After associating each ground-motion observation with an MMI computed from all the DYFI responses within 2 km of the observation, we derived a joint probability distribution between MMI and ground motion. We then derived reversible relationships between MMI and each ground-motion parameter by using a total least squares regression to fit a bilinear function to the median of the stacked probability distributions. Among the relationships, the fit to peak ground velocity has the smallest errors, though linear combinations of PGA and PGV give nominally better results. We also find that magnitude and distance terms reduce the overall residuals and are justifiable on an information theoretic basis. For intensities MMI ≥ 5, our results are in close agreement with the relations of Wald, Quitoriano, Heaton, and Kanamori (1999); for lower intensities, our results fall midway between Wald, Quitoriano, Heaton, and Kanamori (1999) and those of Atkinson and Kaka (2007). The earthquakes in the study ranged in magnitude from 3.0 to 7.3, and the distances ranged from less than a kilometer to about 400 km from the source.","author":[{"dropping-particle":"","family":"Worden","given":"C. B.","non-dropping-particle":"","parse-names":false,"suffix":""},{"dropping-particle":"","family":"Gerstenberger","given":"M. C.","non-dropping-particle":"","parse-names":false,"suffix":""},{"dropping-particle":"","family":"Rhoades","given":"D. A.","non-dropping-particle":"","parse-names":false,"suffix":""},{"dropping-particle":"","family":"Wald","given":"D. J.","non-dropping-particle":"","parse-names":false,"suffix":""}],"container-title":"Bulletin of the Seismological Society of America","id":"ITEM-1","issue":"1","issued":{"date-parts":[["2012"]]},"page":"204-221","title":"Probabilistic relationships between ground-motion parameters and modified mercalli intensity in California","type":"article-journal","volume":"102"},"uris":["http://www.mendeley.com/documents/?uuid=520b4eab-33d0-445d-b003-ad8cc91b97e9"]}],"mendeley":{"formattedCitation":"(Worden et al., 2012)","manualFormatting":"Worden et al. (2012)","plainTextFormattedCitation":"(Worden et al., 2012)","previouslyFormattedCitation":"(Worden et al., 2012)"},"properties":{"noteIndex":0},"schema":"https://github.com/citation-style-language/schema/raw/master/csl-citation.json"}</w:instrText>
      </w:r>
      <w:r>
        <w:rPr>
          <w:rFonts w:cs="Times New Roman"/>
        </w:rPr>
        <w:fldChar w:fldCharType="separate"/>
      </w:r>
      <w:r>
        <w:rPr>
          <w:rFonts w:cs="Times New Roman"/>
          <w:noProof/>
        </w:rPr>
        <w:t>Worden et al. (2012)</w:t>
      </w:r>
      <w:r>
        <w:rPr>
          <w:rFonts w:cs="Times New Roman"/>
        </w:rPr>
        <w:fldChar w:fldCharType="end"/>
      </w:r>
      <w:r>
        <w:rPr>
          <w:rFonts w:cs="Times New Roman"/>
        </w:rPr>
        <w:t>’s GMICE</w:t>
      </w:r>
    </w:p>
    <w:p w14:paraId="5DF12993" w14:textId="34E71012" w:rsidR="00B45A13" w:rsidRPr="00B45A13" w:rsidRDefault="00B45A13" w:rsidP="00B45A13">
      <w:pPr>
        <w:pStyle w:val="Descripcin"/>
        <w:rPr>
          <w:i w:val="0"/>
        </w:rPr>
      </w:pPr>
      <w:r w:rsidRPr="00B45A13">
        <w:rPr>
          <w:b/>
          <w:bCs/>
          <w:i w:val="0"/>
        </w:rPr>
        <w:t xml:space="preserve">Figure </w:t>
      </w:r>
      <w:r w:rsidR="00C5684D">
        <w:rPr>
          <w:b/>
          <w:bCs/>
          <w:i w:val="0"/>
        </w:rPr>
        <w:t>S</w:t>
      </w:r>
      <w:r w:rsidRPr="00B45A13">
        <w:rPr>
          <w:b/>
          <w:bCs/>
          <w:i w:val="0"/>
        </w:rPr>
        <w:t>2</w:t>
      </w:r>
      <w:r w:rsidRPr="00B45A13">
        <w:rPr>
          <w:i w:val="0"/>
        </w:rPr>
        <w:t xml:space="preserve">. Seismic scenarios built for candidate ruptures A1 and A2 (Adra Fault) and AI1 and AI2 (Al-Idrissi Fault) with the </w:t>
      </w:r>
      <w:r w:rsidRPr="00B45A13">
        <w:rPr>
          <w:i w:val="0"/>
        </w:rPr>
        <w:fldChar w:fldCharType="begin" w:fldLock="1"/>
      </w:r>
      <w:r w:rsidRPr="00B45A13">
        <w:rPr>
          <w:i w:val="0"/>
        </w:rPr>
        <w:instrText>ADDIN CSL_CITATION {"citationItems":[{"id":"ITEM-1","itemData":{"DOI":"10.1193/062913EQS175M","ISSN":"87552930","abstract":"We used an expanded PEER NGA-West2 database to develop a new ground motion prediction equation (GMPE) for the average horizontal components of PGA, PGV, and 5% damped linear pseudo-absolute acceleration response spectra at 21 periods ranging from 0.01 s to 10 s. In addition to those terms included in our now superseded 2008 GMPE, we include a more-detailed hanging wall model, scaling with hypocentral depth and fault dip, regionally independent geometric attenuation, regionally dependent anelastic attenuation and site conditions, and magnitude-dependent aleatory variability. The NGA-West2 database provides better constraints on magnitude scaling and attenuation of small-magnitude earthquakes, where our 2008 GMPE was known to be biased. We consider our new GMPE to be valid for estimating horizontal ground motion from shallow crustal continental earthquakes in an active tectonic domain for rupture distances ranging from 0 km to 300 km and magnitudes ranging from 3.3 to 7.5-8.5, depending on source mechanism.","author":[{"dropping-particle":"","family":"Campbell","given":"Kenneth W.","non-dropping-particle":"","parse-names":false,"suffix":""},{"dropping-particle":"","family":"Bozorgnia","given":"Yousef","non-dropping-particle":"","parse-names":false,"suffix":""}],"container-title":"Earthquake Spectra","id":"ITEM-1","issue":"3","issued":{"date-parts":[["2014"]]},"page":"1087-1114","title":"NGA-West2 ground motion model for the average horizontal components of PGA, PGV, and 5% damped linear acceleration response spectra","type":"article-journal","volume":"30"},"uris":["http://www.mendeley.com/documents/?uuid=f8029e0f-d30c-40c3-8ee5-7ce68d68106d"]}],"mendeley":{"formattedCitation":"(Campbell &amp; Bozorgnia, 2014)","manualFormatting":"Campbell &amp; Bozorgnia (2014)","plainTextFormattedCitation":"(Campbell &amp; Bozorgnia, 2014)","previouslyFormattedCitation":"(Campbell &amp; Bozorgnia, 2014)"},"properties":{"noteIndex":0},"schema":"https://github.com/citation-style-language/schema/raw/master/csl-citation.json"}</w:instrText>
      </w:r>
      <w:r w:rsidRPr="00B45A13">
        <w:rPr>
          <w:i w:val="0"/>
        </w:rPr>
        <w:fldChar w:fldCharType="separate"/>
      </w:r>
      <w:r w:rsidRPr="00B45A13">
        <w:rPr>
          <w:i w:val="0"/>
          <w:noProof/>
        </w:rPr>
        <w:t>Campbell &amp; Bozorgnia (2014)</w:t>
      </w:r>
      <w:r w:rsidRPr="00B45A13">
        <w:rPr>
          <w:i w:val="0"/>
        </w:rPr>
        <w:fldChar w:fldCharType="end"/>
      </w:r>
      <w:r w:rsidRPr="00B45A13">
        <w:rPr>
          <w:i w:val="0"/>
        </w:rPr>
        <w:t xml:space="preserve"> GMM. The dots correspond to the observed intensity data. Both the simulated scenario and the observed intensity data points are in the same color palette.</w:t>
      </w:r>
    </w:p>
    <w:p w14:paraId="3B000525" w14:textId="4AB155DB" w:rsidR="00B45A13" w:rsidRDefault="00B45A13" w:rsidP="00B45A13">
      <w:pPr>
        <w:pStyle w:val="Descripcin"/>
        <w:rPr>
          <w:i w:val="0"/>
        </w:rPr>
      </w:pPr>
      <w:r w:rsidRPr="00B45A13">
        <w:rPr>
          <w:b/>
          <w:bCs/>
          <w:i w:val="0"/>
          <w:noProof/>
        </w:rPr>
        <w:lastRenderedPageBreak/>
        <w:drawing>
          <wp:anchor distT="0" distB="0" distL="114300" distR="114300" simplePos="0" relativeHeight="251661312" behindDoc="0" locked="0" layoutInCell="1" allowOverlap="1" wp14:anchorId="499E5F28" wp14:editId="2C712CDB">
            <wp:simplePos x="0" y="0"/>
            <wp:positionH relativeFrom="margin">
              <wp:align>center</wp:align>
            </wp:positionH>
            <wp:positionV relativeFrom="paragraph">
              <wp:posOffset>0</wp:posOffset>
            </wp:positionV>
            <wp:extent cx="4449445" cy="7734300"/>
            <wp:effectExtent l="0" t="0" r="8255" b="0"/>
            <wp:wrapTopAndBottom/>
            <wp:docPr id="1736701741" name="Imagen 1" descr="Gráfico, Calendario, 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01741" name="Imagen 1" descr="Gráfico, Calendario, Map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9445" cy="7734300"/>
                    </a:xfrm>
                    <a:prstGeom prst="rect">
                      <a:avLst/>
                    </a:prstGeom>
                  </pic:spPr>
                </pic:pic>
              </a:graphicData>
            </a:graphic>
          </wp:anchor>
        </w:drawing>
      </w:r>
      <w:r w:rsidRPr="00B45A13">
        <w:rPr>
          <w:b/>
          <w:bCs/>
          <w:i w:val="0"/>
        </w:rPr>
        <w:t xml:space="preserve">Figure </w:t>
      </w:r>
      <w:r w:rsidR="00C5684D">
        <w:rPr>
          <w:b/>
          <w:bCs/>
          <w:i w:val="0"/>
        </w:rPr>
        <w:t>S</w:t>
      </w:r>
      <w:r w:rsidRPr="00B45A13">
        <w:rPr>
          <w:b/>
          <w:bCs/>
          <w:i w:val="0"/>
        </w:rPr>
        <w:t>3.</w:t>
      </w:r>
      <w:r w:rsidRPr="00B45A13">
        <w:rPr>
          <w:i w:val="0"/>
        </w:rPr>
        <w:t xml:space="preserve"> Seismic scenarios built for candidate ruptures AV1 and AV2 (Averroes Fault) and C1 to C3 (Carboneras Fault) with the </w:t>
      </w:r>
      <w:r w:rsidRPr="00B45A13">
        <w:rPr>
          <w:i w:val="0"/>
        </w:rPr>
        <w:fldChar w:fldCharType="begin" w:fldLock="1"/>
      </w:r>
      <w:r w:rsidRPr="00B45A13">
        <w:rPr>
          <w:i w:val="0"/>
        </w:rPr>
        <w:instrText>ADDIN CSL_CITATION {"citationItems":[{"id":"ITEM-1","itemData":{"DOI":"10.1193/062913EQS175M","ISSN":"87552930","abstract":"We used an expanded PEER NGA-West2 database to develop a new ground motion prediction equation (GMPE) for the average horizontal components of PGA, PGV, and 5% damped linear pseudo-absolute acceleration response spectra at 21 periods ranging from 0.01 s to 10 s. In addition to those terms included in our now superseded 2008 GMPE, we include a more-detailed hanging wall model, scaling with hypocentral depth and fault dip, regionally independent geometric attenuation, regionally dependent anelastic attenuation and site conditions, and magnitude-dependent aleatory variability. The NGA-West2 database provides better constraints on magnitude scaling and attenuation of small-magnitude earthquakes, where our 2008 GMPE was known to be biased. We consider our new GMPE to be valid for estimating horizontal ground motion from shallow crustal continental earthquakes in an active tectonic domain for rupture distances ranging from 0 km to 300 km and magnitudes ranging from 3.3 to 7.5-8.5, depending on source mechanism.","author":[{"dropping-particle":"","family":"Campbell","given":"Kenneth W.","non-dropping-particle":"","parse-names":false,"suffix":""},{"dropping-particle":"","family":"Bozorgnia","given":"Yousef","non-dropping-particle":"","parse-names":false,"suffix":""}],"container-title":"Earthquake Spectra","id":"ITEM-1","issue":"3","issued":{"date-parts":[["2014"]]},"page":"1087-1114","title":"NGA-West2 ground motion model for the average horizontal components of PGA, PGV, and 5% damped linear acceleration response spectra","type":"article-journal","volume":"30"},"uris":["http://www.mendeley.com/documents/?uuid=f8029e0f-d30c-40c3-8ee5-7ce68d68106d"]}],"mendeley":{"formattedCitation":"(Campbell &amp; Bozorgnia, 2014)","manualFormatting":"Campbell &amp; Bozorgnia (2014)","plainTextFormattedCitation":"(Campbell &amp; Bozorgnia, 2014)","previouslyFormattedCitation":"(Campbell &amp; Bozorgnia, 2014)"},"properties":{"noteIndex":0},"schema":"https://github.com/citation-style-language/schema/raw/master/csl-citation.json"}</w:instrText>
      </w:r>
      <w:r w:rsidRPr="00B45A13">
        <w:rPr>
          <w:i w:val="0"/>
        </w:rPr>
        <w:fldChar w:fldCharType="separate"/>
      </w:r>
      <w:r w:rsidRPr="00B45A13">
        <w:rPr>
          <w:i w:val="0"/>
          <w:noProof/>
        </w:rPr>
        <w:t>Campbell &amp; Bozorgnia (2014)</w:t>
      </w:r>
      <w:r w:rsidRPr="00B45A13">
        <w:rPr>
          <w:i w:val="0"/>
        </w:rPr>
        <w:fldChar w:fldCharType="end"/>
      </w:r>
      <w:r w:rsidRPr="00B45A13">
        <w:rPr>
          <w:i w:val="0"/>
        </w:rPr>
        <w:t xml:space="preserve"> GMM. The dots correspond to </w:t>
      </w:r>
      <w:r w:rsidRPr="00B45A13">
        <w:rPr>
          <w:i w:val="0"/>
        </w:rPr>
        <w:lastRenderedPageBreak/>
        <w:t>the observed intensity data. Both the simulated scenario and the observed intensity data points</w:t>
      </w:r>
      <w:r>
        <w:rPr>
          <w:i w:val="0"/>
        </w:rPr>
        <w:t xml:space="preserve"> </w:t>
      </w:r>
      <w:r w:rsidRPr="00B45A13">
        <w:rPr>
          <w:i w:val="0"/>
        </w:rPr>
        <w:t>are in the same color palette.</w:t>
      </w:r>
    </w:p>
    <w:p w14:paraId="4A3D83D6" w14:textId="3DF817E4" w:rsidR="00B45A13" w:rsidRPr="00B45A13" w:rsidRDefault="00B45A13" w:rsidP="00B45A13">
      <w:pPr>
        <w:pStyle w:val="Descripcin"/>
        <w:rPr>
          <w:i w:val="0"/>
        </w:rPr>
      </w:pPr>
      <w:r w:rsidRPr="00B45A13">
        <w:rPr>
          <w:b/>
          <w:bCs/>
          <w:i w:val="0"/>
          <w:noProof/>
        </w:rPr>
        <w:lastRenderedPageBreak/>
        <w:drawing>
          <wp:anchor distT="0" distB="0" distL="114300" distR="114300" simplePos="0" relativeHeight="251662336" behindDoc="0" locked="0" layoutInCell="1" allowOverlap="1" wp14:anchorId="28F8CAF7" wp14:editId="71B95DF1">
            <wp:simplePos x="0" y="0"/>
            <wp:positionH relativeFrom="margin">
              <wp:align>center</wp:align>
            </wp:positionH>
            <wp:positionV relativeFrom="paragraph">
              <wp:posOffset>0</wp:posOffset>
            </wp:positionV>
            <wp:extent cx="4537710" cy="7886700"/>
            <wp:effectExtent l="0" t="0" r="0" b="0"/>
            <wp:wrapTopAndBottom/>
            <wp:docPr id="25" name="Image15" descr="Interfaz de usuario gráfica, 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 descr="Interfaz de usuario gráfica, Calendari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37710" cy="7886700"/>
                    </a:xfrm>
                    <a:prstGeom prst="rect">
                      <a:avLst/>
                    </a:prstGeom>
                  </pic:spPr>
                </pic:pic>
              </a:graphicData>
            </a:graphic>
          </wp:anchor>
        </w:drawing>
      </w:r>
      <w:r w:rsidRPr="00B45A13">
        <w:rPr>
          <w:b/>
          <w:bCs/>
          <w:i w:val="0"/>
        </w:rPr>
        <w:t xml:space="preserve">Figure </w:t>
      </w:r>
      <w:r w:rsidR="00C5684D">
        <w:rPr>
          <w:b/>
          <w:bCs/>
          <w:i w:val="0"/>
        </w:rPr>
        <w:t>S</w:t>
      </w:r>
      <w:r w:rsidRPr="00B45A13">
        <w:rPr>
          <w:b/>
          <w:bCs/>
          <w:i w:val="0"/>
        </w:rPr>
        <w:t>4.</w:t>
      </w:r>
      <w:r w:rsidRPr="00B45A13">
        <w:rPr>
          <w:i w:val="0"/>
        </w:rPr>
        <w:t xml:space="preserve"> Seismic scenarios built for candidate ruptures B (Balanegra Fault), D1 and D2 </w:t>
      </w:r>
      <w:r w:rsidRPr="00B45A13">
        <w:rPr>
          <w:i w:val="0"/>
        </w:rPr>
        <w:lastRenderedPageBreak/>
        <w:t xml:space="preserve">(Djibouti Fault), and LV1 and LV2 (Loma del Viento Fault) with the </w:t>
      </w:r>
      <w:r w:rsidRPr="00B45A13">
        <w:rPr>
          <w:i w:val="0"/>
        </w:rPr>
        <w:fldChar w:fldCharType="begin" w:fldLock="1"/>
      </w:r>
      <w:r w:rsidRPr="00B45A13">
        <w:rPr>
          <w:i w:val="0"/>
        </w:rPr>
        <w:instrText>ADDIN CSL_CITATION {"citationItems":[{"id":"ITEM-1","itemData":{"DOI":"10.1193/062913EQS175M","ISSN":"87552930","abstract":"We used an expanded PEER NGA-West2 database to develop a new ground motion prediction equation (GMPE) for the average horizontal components of PGA, PGV, and 5% damped linear pseudo-absolute acceleration response spectra at 21 periods ranging from 0.01 s to 10 s. In addition to those terms included in our now superseded 2008 GMPE, we include a more-detailed hanging wall model, scaling with hypocentral depth and fault dip, regionally independent geometric attenuation, regionally dependent anelastic attenuation and site conditions, and magnitude-dependent aleatory variability. The NGA-West2 database provides better constraints on magnitude scaling and attenuation of small-magnitude earthquakes, where our 2008 GMPE was known to be biased. We consider our new GMPE to be valid for estimating horizontal ground motion from shallow crustal continental earthquakes in an active tectonic domain for rupture distances ranging from 0 km to 300 km and magnitudes ranging from 3.3 to 7.5-8.5, depending on source mechanism.","author":[{"dropping-particle":"","family":"Campbell","given":"Kenneth W.","non-dropping-particle":"","parse-names":false,"suffix":""},{"dropping-particle":"","family":"Bozorgnia","given":"Yousef","non-dropping-particle":"","parse-names":false,"suffix":""}],"container-title":"Earthquake Spectra","id":"ITEM-1","issue":"3","issued":{"date-parts":[["2014"]]},"page":"1087-1114","title":"NGA-West2 ground motion model for the average horizontal components of PGA, PGV, and 5% damped linear acceleration response spectra","type":"article-journal","volume":"30"},"uris":["http://www.mendeley.com/documents/?uuid=f8029e0f-d30c-40c3-8ee5-7ce68d68106d"]}],"mendeley":{"formattedCitation":"(Campbell &amp; Bozorgnia, 2014)","manualFormatting":"Campbell &amp; Bozorgnia (2014)","plainTextFormattedCitation":"(Campbell &amp; Bozorgnia, 2014)","previouslyFormattedCitation":"(Campbell &amp; Bozorgnia, 2014)"},"properties":{"noteIndex":0},"schema":"https://github.com/citation-style-language/schema/raw/master/csl-citation.json"}</w:instrText>
      </w:r>
      <w:r w:rsidRPr="00B45A13">
        <w:rPr>
          <w:i w:val="0"/>
        </w:rPr>
        <w:fldChar w:fldCharType="separate"/>
      </w:r>
      <w:r w:rsidRPr="00B45A13">
        <w:rPr>
          <w:i w:val="0"/>
          <w:noProof/>
        </w:rPr>
        <w:t>Campbell &amp; Bozorgnia (2014)</w:t>
      </w:r>
      <w:r w:rsidRPr="00B45A13">
        <w:rPr>
          <w:i w:val="0"/>
        </w:rPr>
        <w:fldChar w:fldCharType="end"/>
      </w:r>
      <w:r w:rsidRPr="00B45A13">
        <w:rPr>
          <w:i w:val="0"/>
        </w:rPr>
        <w:t xml:space="preserve"> GMM. The dots correspond to the observed intensity data. Both the simulated scenario and the observed intensity data points are in the same color palette.</w:t>
      </w:r>
    </w:p>
    <w:p w14:paraId="6D557E19" w14:textId="77777777" w:rsidR="00862CAE" w:rsidRDefault="008170CE">
      <w:pPr>
        <w:pStyle w:val="Ttulo1"/>
      </w:pPr>
      <w:r>
        <w:t>References</w:t>
      </w:r>
    </w:p>
    <w:p w14:paraId="2C0E4F8C" w14:textId="5F88F7AB" w:rsidR="00FE46B6" w:rsidRPr="00FE46B6" w:rsidRDefault="00FE46B6" w:rsidP="00FE46B6">
      <w:pPr>
        <w:pStyle w:val="Textbody"/>
        <w:rPr>
          <w:lang w:val="en-GB"/>
        </w:rPr>
      </w:pPr>
      <w:r w:rsidRPr="00FE46B6">
        <w:rPr>
          <w:lang w:val="en-GB"/>
        </w:rPr>
        <w:fldChar w:fldCharType="begin" w:fldLock="1"/>
      </w:r>
      <w:r w:rsidRPr="00FE46B6">
        <w:rPr>
          <w:lang w:val="en-GB"/>
        </w:rPr>
        <w:instrText xml:space="preserve">ADDIN Mendeley Bibliography CSL_BIBLIOGRAPHY </w:instrText>
      </w:r>
      <w:r w:rsidRPr="00FE46B6">
        <w:rPr>
          <w:lang w:val="en-GB"/>
        </w:rPr>
        <w:fldChar w:fldCharType="separate"/>
      </w:r>
      <w:r w:rsidRPr="00FE46B6">
        <w:rPr>
          <w:lang w:val="en-GB"/>
        </w:rPr>
        <w:t xml:space="preserve">Campbell, K. W., &amp; Bozorgnia, Y. (2014). NGA-West2 ground motion model for the average horizontal components of PGA, PGV, and 5% damped linear acceleration response spectra. </w:t>
      </w:r>
      <w:r w:rsidRPr="00F97F88">
        <w:rPr>
          <w:i/>
          <w:iCs/>
          <w:lang w:val="en-GB"/>
        </w:rPr>
        <w:t>Earthquake Spectra</w:t>
      </w:r>
      <w:r w:rsidRPr="00FE46B6">
        <w:rPr>
          <w:lang w:val="en-GB"/>
        </w:rPr>
        <w:t>, 30(3), 1087–1114. https://doi.org/10.1193/062913EQS175M</w:t>
      </w:r>
    </w:p>
    <w:p w14:paraId="3C0E786A" w14:textId="77777777" w:rsidR="00FE46B6" w:rsidRPr="00FE46B6" w:rsidRDefault="00FE46B6" w:rsidP="00FE46B6">
      <w:pPr>
        <w:pStyle w:val="Textbody"/>
        <w:rPr>
          <w:lang w:val="en-GB"/>
        </w:rPr>
      </w:pPr>
      <w:r w:rsidRPr="00FE46B6">
        <w:rPr>
          <w:lang w:val="en-GB"/>
        </w:rPr>
        <w:t xml:space="preserve">Gasperini, P., Bernardini, F., Valensise, G., &amp; Boschi, E. (1999). Defining seismogenic sources from historical earthquake felt reports. </w:t>
      </w:r>
      <w:r w:rsidRPr="00F97F88">
        <w:rPr>
          <w:i/>
          <w:iCs/>
          <w:lang w:val="en-GB"/>
        </w:rPr>
        <w:t>Bulletin of the Seismological Society of America</w:t>
      </w:r>
      <w:r w:rsidRPr="00FE46B6">
        <w:rPr>
          <w:lang w:val="en-GB"/>
        </w:rPr>
        <w:t>, 89(1), 94–110.</w:t>
      </w:r>
    </w:p>
    <w:p w14:paraId="122E4A16" w14:textId="77777777" w:rsidR="00FE46B6" w:rsidRPr="00FE46B6" w:rsidRDefault="00FE46B6" w:rsidP="00FE46B6">
      <w:pPr>
        <w:pStyle w:val="Textbody"/>
        <w:rPr>
          <w:lang w:val="en-GB"/>
        </w:rPr>
      </w:pPr>
      <w:r w:rsidRPr="00FE46B6">
        <w:rPr>
          <w:lang w:val="en-GB"/>
        </w:rPr>
        <w:t xml:space="preserve">Gasperini, P., Vannucci, G., Tripone, D., &amp; Boschi, E. (2010). The location and sizing of historical earthquakes using the attenuation of macroseismic intensity with distance. </w:t>
      </w:r>
      <w:r w:rsidRPr="00F97F88">
        <w:rPr>
          <w:i/>
          <w:iCs/>
          <w:lang w:val="en-GB"/>
        </w:rPr>
        <w:t>Bulletin of the Seismological Society of America</w:t>
      </w:r>
      <w:r w:rsidRPr="00FE46B6">
        <w:rPr>
          <w:lang w:val="en-GB"/>
        </w:rPr>
        <w:t>, 100(5 A), 2035–2066. https://doi.org/10.1785/0120090330</w:t>
      </w:r>
    </w:p>
    <w:p w14:paraId="14DCDDB9" w14:textId="77777777" w:rsidR="00FE46B6" w:rsidRPr="00FE46B6" w:rsidRDefault="00FE46B6" w:rsidP="00FE46B6">
      <w:pPr>
        <w:pStyle w:val="Textbody"/>
        <w:rPr>
          <w:lang w:val="en-GB"/>
        </w:rPr>
      </w:pPr>
      <w:r w:rsidRPr="00FE46B6">
        <w:rPr>
          <w:lang w:val="en-GB"/>
        </w:rPr>
        <w:t xml:space="preserve">Gomez-Capera, A. A., Rovida, A., Gasperini, P., Stucchi, M., &amp; Viganò, D. (2014). The determination of earthquake location and magnitude from macroseismic data in Europe. </w:t>
      </w:r>
      <w:r w:rsidRPr="00F97F88">
        <w:rPr>
          <w:i/>
          <w:iCs/>
          <w:lang w:val="en-GB"/>
        </w:rPr>
        <w:t>Bulletin of Earthquake Engineering</w:t>
      </w:r>
      <w:r w:rsidRPr="00FE46B6">
        <w:rPr>
          <w:lang w:val="en-GB"/>
        </w:rPr>
        <w:t>, 13(5), 1249–1280. https://doi.org/10.1007/s10518-014-9672-3</w:t>
      </w:r>
    </w:p>
    <w:p w14:paraId="7832D0BB" w14:textId="77777777" w:rsidR="00FE46B6" w:rsidRPr="00FE46B6" w:rsidRDefault="00FE46B6" w:rsidP="00FE46B6">
      <w:pPr>
        <w:pStyle w:val="Textbody"/>
        <w:rPr>
          <w:lang w:val="en-GB"/>
        </w:rPr>
      </w:pPr>
      <w:r w:rsidRPr="00FE46B6">
        <w:rPr>
          <w:lang w:val="en-GB"/>
        </w:rPr>
        <w:t>Martínez Solares, J. M., &amp; Mezcua Rodríguez, J. (2002). Catálogo sísmico de la Península Ibérica (880 a. C. - 1900). Instituto Geográfico Nacional.</w:t>
      </w:r>
    </w:p>
    <w:p w14:paraId="507E7D8F" w14:textId="77777777" w:rsidR="00FE46B6" w:rsidRPr="00FE46B6" w:rsidRDefault="00FE46B6" w:rsidP="00FE46B6">
      <w:pPr>
        <w:pStyle w:val="Textbody"/>
        <w:rPr>
          <w:lang w:val="en-GB"/>
        </w:rPr>
      </w:pPr>
      <w:r w:rsidRPr="00FE46B6">
        <w:rPr>
          <w:lang w:val="en-GB"/>
        </w:rPr>
        <w:t xml:space="preserve">Mezcua, J., Rueda, J., &amp; García Blanco, R. M. (2013). Iberian peninsula historical seismicity revisited: An intensity data bank. </w:t>
      </w:r>
      <w:r w:rsidRPr="00F97F88">
        <w:rPr>
          <w:i/>
          <w:iCs/>
          <w:lang w:val="en-GB"/>
        </w:rPr>
        <w:t>Seismological Research Letters</w:t>
      </w:r>
      <w:r w:rsidRPr="00FE46B6">
        <w:rPr>
          <w:lang w:val="en-GB"/>
        </w:rPr>
        <w:t>, 84(1), 9–18. https://doi.org/10.1785/0220120097</w:t>
      </w:r>
    </w:p>
    <w:p w14:paraId="1FA3B8E2" w14:textId="77777777" w:rsidR="00FE46B6" w:rsidRPr="00FE46B6" w:rsidRDefault="00FE46B6" w:rsidP="00FE46B6">
      <w:pPr>
        <w:pStyle w:val="Textbody"/>
        <w:rPr>
          <w:lang w:val="en-GB"/>
        </w:rPr>
      </w:pPr>
      <w:r w:rsidRPr="00FE46B6">
        <w:rPr>
          <w:lang w:val="en-GB"/>
        </w:rPr>
        <w:lastRenderedPageBreak/>
        <w:t xml:space="preserve">Molina, S., Navarro, M., Martínez-Pagan, P., Pérez-Cuevas, J., Vidal, F., Navarro, D., &amp; Agea-Medina, N. (2018). Potential damage and losses in a repeat of the 1910 Adra (Southern Spain) earthquake. </w:t>
      </w:r>
      <w:r w:rsidRPr="00F97F88">
        <w:rPr>
          <w:i/>
          <w:iCs/>
          <w:lang w:val="en-GB"/>
        </w:rPr>
        <w:t>Natural Hazards</w:t>
      </w:r>
      <w:r w:rsidRPr="00FE46B6">
        <w:rPr>
          <w:lang w:val="en-GB"/>
        </w:rPr>
        <w:t>, 92(3), 1547–1571. https://doi.org/10.1007/s11069-018-3263-6</w:t>
      </w:r>
    </w:p>
    <w:p w14:paraId="66F87916" w14:textId="77777777" w:rsidR="00FE46B6" w:rsidRPr="00FE46B6" w:rsidRDefault="00FE46B6" w:rsidP="00FE46B6">
      <w:pPr>
        <w:pStyle w:val="Textbody"/>
        <w:rPr>
          <w:lang w:val="en-GB"/>
        </w:rPr>
      </w:pPr>
      <w:r w:rsidRPr="00FE46B6">
        <w:rPr>
          <w:lang w:val="en-GB"/>
        </w:rPr>
        <w:t>Murphy Corella, P. (2019). Los terremotos de Almería de 1804 en el archivo histórico nacional. Instituto Geográfico Nacional. https://www.ign.es/web/libros-digitales/terremotos-almeria-1804</w:t>
      </w:r>
    </w:p>
    <w:p w14:paraId="654A29AA" w14:textId="77777777" w:rsidR="00FE46B6" w:rsidRPr="00FE46B6" w:rsidRDefault="00FE46B6" w:rsidP="00FE46B6">
      <w:pPr>
        <w:pStyle w:val="Textbody"/>
        <w:rPr>
          <w:lang w:val="en-GB"/>
        </w:rPr>
      </w:pPr>
      <w:r w:rsidRPr="00FE46B6">
        <w:rPr>
          <w:lang w:val="en-GB"/>
        </w:rPr>
        <w:t xml:space="preserve">Posadas, A., Vidal, F., &amp; Navarro, M. (2006). The M = 6.3 Earthquake of January 13 (1804) in Motril (Spain). </w:t>
      </w:r>
      <w:r w:rsidRPr="00F97F88">
        <w:rPr>
          <w:i/>
          <w:iCs/>
          <w:lang w:val="en-GB"/>
        </w:rPr>
        <w:t>Proceedings of the First Europen Conference on Earthquake Engineering and Seismology</w:t>
      </w:r>
      <w:r w:rsidRPr="00FE46B6">
        <w:rPr>
          <w:lang w:val="en-GB"/>
        </w:rPr>
        <w:t>, 91, 1–8.</w:t>
      </w:r>
    </w:p>
    <w:p w14:paraId="692D5571" w14:textId="77777777" w:rsidR="00FE46B6" w:rsidRPr="00FE46B6" w:rsidRDefault="00FE46B6" w:rsidP="00FE46B6">
      <w:pPr>
        <w:pStyle w:val="Textbody"/>
        <w:rPr>
          <w:lang w:val="en-GB"/>
        </w:rPr>
      </w:pPr>
      <w:r w:rsidRPr="00FE46B6">
        <w:rPr>
          <w:lang w:val="en-GB"/>
        </w:rPr>
        <w:t xml:space="preserve">Worden, C. B., Gerstenberger, M. C., Rhoades, D. A., &amp; Wald, D. J. (2012). Probabilistic relationships between ground-motion parameters and modified mercalli intensity in California. </w:t>
      </w:r>
      <w:r w:rsidRPr="00F97F88">
        <w:rPr>
          <w:i/>
          <w:iCs/>
          <w:lang w:val="en-GB"/>
        </w:rPr>
        <w:t>Bulletin of the Seismological Society of America</w:t>
      </w:r>
      <w:r w:rsidRPr="00FE46B6">
        <w:rPr>
          <w:lang w:val="en-GB"/>
        </w:rPr>
        <w:t>, 102(1), 204–221. https://doi.org/10.1785/0120110156</w:t>
      </w:r>
    </w:p>
    <w:p w14:paraId="2CE79182" w14:textId="00267CA8" w:rsidR="00897535" w:rsidRPr="00FE46B6" w:rsidRDefault="00FE46B6">
      <w:pPr>
        <w:pStyle w:val="Textbody"/>
        <w:rPr>
          <w:lang w:val="en-GB"/>
        </w:rPr>
      </w:pPr>
      <w:r w:rsidRPr="00FE46B6">
        <w:rPr>
          <w:lang w:val="en-GB"/>
        </w:rPr>
        <w:fldChar w:fldCharType="end"/>
      </w:r>
    </w:p>
    <w:sectPr w:rsidR="00897535" w:rsidRPr="00FE46B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E7CE" w14:textId="77777777" w:rsidR="008170CE" w:rsidRDefault="008170CE">
      <w:r>
        <w:separator/>
      </w:r>
    </w:p>
  </w:endnote>
  <w:endnote w:type="continuationSeparator" w:id="0">
    <w:p w14:paraId="68AEAEFC" w14:textId="77777777" w:rsidR="008170CE" w:rsidRDefault="0081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AR PL SungtiL GB">
    <w:charset w:val="00"/>
    <w:family w:val="auto"/>
    <w:pitch w:val="variable"/>
  </w:font>
  <w:font w:name="David CLM">
    <w:altName w:val="Calibri"/>
    <w:charset w:val="00"/>
    <w:family w:val="auto"/>
    <w:pitch w:val="variable"/>
  </w:font>
  <w:font w:name="Nachlieli CLM">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Mono">
    <w:charset w:val="00"/>
    <w:family w:val="modern"/>
    <w:pitch w:val="fixed"/>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81788" w14:textId="77777777" w:rsidR="008170CE" w:rsidRDefault="008170CE">
      <w:r>
        <w:rPr>
          <w:color w:val="000000"/>
        </w:rPr>
        <w:separator/>
      </w:r>
    </w:p>
  </w:footnote>
  <w:footnote w:type="continuationSeparator" w:id="0">
    <w:p w14:paraId="00FD9922" w14:textId="77777777" w:rsidR="008170CE" w:rsidRDefault="008170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AE"/>
    <w:rsid w:val="00103F92"/>
    <w:rsid w:val="001B5799"/>
    <w:rsid w:val="002216D0"/>
    <w:rsid w:val="002C32A8"/>
    <w:rsid w:val="0048351E"/>
    <w:rsid w:val="00501946"/>
    <w:rsid w:val="008170CE"/>
    <w:rsid w:val="0082598E"/>
    <w:rsid w:val="00862CAE"/>
    <w:rsid w:val="00897535"/>
    <w:rsid w:val="00B45A13"/>
    <w:rsid w:val="00C5684D"/>
    <w:rsid w:val="00E261C3"/>
    <w:rsid w:val="00F97F88"/>
    <w:rsid w:val="00FA2076"/>
    <w:rsid w:val="00FE46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5DE6EE"/>
  <w15:docId w15:val="{52DF0CDE-82D4-411A-8645-3C4D48B9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 PL SungtiL GB" w:hAnsi="Liberation Serif" w:cs="David CLM"/>
        <w:kern w:val="3"/>
        <w:sz w:val="24"/>
        <w:szCs w:val="24"/>
        <w:lang w:val="en-US" w:eastAsia="zh-CN" w:bidi="he-IL"/>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next w:val="Textbody"/>
    <w:uiPriority w:val="9"/>
    <w:qFormat/>
    <w:pPr>
      <w:outlineLvl w:val="0"/>
    </w:pPr>
    <w:rPr>
      <w:rFonts w:eastAsia="Liberation Serif" w:cs="Liberation Serif"/>
      <w:sz w:val="24"/>
    </w:rPr>
  </w:style>
  <w:style w:type="paragraph" w:styleId="Ttulo2">
    <w:name w:val="heading 2"/>
    <w:basedOn w:val="Heading"/>
    <w:next w:val="Textbody"/>
    <w:uiPriority w:val="9"/>
    <w:unhideWhenUsed/>
    <w:qFormat/>
    <w:pPr>
      <w:spacing w:before="200"/>
      <w:outlineLvl w:val="1"/>
    </w:pPr>
    <w:rPr>
      <w:rFonts w:eastAsia="Liberation Serif" w:cs="Liberation Serif"/>
      <w:b w:val="0"/>
      <w:bCs w:val="0"/>
      <w:i/>
      <w:iCs/>
      <w:sz w:val="24"/>
    </w:rPr>
  </w:style>
  <w:style w:type="paragraph" w:styleId="Ttulo3">
    <w:name w:val="heading 3"/>
    <w:basedOn w:val="Heading"/>
    <w:next w:val="Textbody"/>
    <w:uiPriority w:val="9"/>
    <w:semiHidden/>
    <w:unhideWhenUsed/>
    <w:qFormat/>
    <w:pPr>
      <w:spacing w:before="140"/>
      <w:ind w:left="202"/>
      <w:outlineLvl w:val="2"/>
    </w:pPr>
    <w:rPr>
      <w:rFonts w:eastAsia="Liberation Serif" w:cs="Liberation Serif"/>
      <w:b w:val="0"/>
      <w:bCs w:val="0"/>
      <w:sz w:val="24"/>
    </w:rPr>
  </w:style>
  <w:style w:type="paragraph" w:styleId="Ttulo4">
    <w:name w:val="heading 4"/>
    <w:basedOn w:val="Heading"/>
    <w:next w:val="Textbody"/>
    <w:uiPriority w:val="9"/>
    <w:semiHidden/>
    <w:unhideWhenUsed/>
    <w:qFormat/>
    <w:pPr>
      <w:spacing w:before="120"/>
      <w:outlineLvl w:val="3"/>
    </w:pPr>
    <w:rPr>
      <w:i/>
      <w:iCs/>
    </w:rPr>
  </w:style>
  <w:style w:type="paragraph" w:styleId="Ttulo5">
    <w:name w:val="heading 5"/>
    <w:basedOn w:val="Heading"/>
    <w:next w:val="Textbody"/>
    <w:uiPriority w:val="9"/>
    <w:semiHidden/>
    <w:unhideWhenUsed/>
    <w:qFormat/>
    <w:pPr>
      <w:spacing w:before="120" w:after="60"/>
      <w:outlineLvl w:val="4"/>
    </w:pPr>
  </w:style>
  <w:style w:type="paragraph" w:styleId="Ttulo6">
    <w:name w:val="heading 6"/>
    <w:basedOn w:val="Heading"/>
    <w:next w:val="Textbody"/>
    <w:uiPriority w:val="9"/>
    <w:semiHidden/>
    <w:unhideWhenUsed/>
    <w:qFormat/>
    <w:pPr>
      <w:spacing w:before="60" w:after="60"/>
      <w:outlineLvl w:val="5"/>
    </w:pPr>
    <w:rPr>
      <w:i/>
      <w:iCs/>
    </w:rPr>
  </w:style>
  <w:style w:type="paragraph" w:styleId="Ttulo7">
    <w:name w:val="heading 7"/>
    <w:basedOn w:val="Heading"/>
    <w:next w:val="Textbody"/>
    <w:pPr>
      <w:spacing w:before="60" w:after="60"/>
      <w:outlineLvl w:val="6"/>
    </w:pPr>
  </w:style>
  <w:style w:type="paragraph" w:styleId="Ttulo8">
    <w:name w:val="heading 8"/>
    <w:basedOn w:val="Heading"/>
    <w:next w:val="Textbody"/>
    <w:pPr>
      <w:spacing w:before="60" w:after="60"/>
      <w:outlineLvl w:val="7"/>
    </w:pPr>
    <w:rPr>
      <w:i/>
      <w:iCs/>
    </w:rPr>
  </w:style>
  <w:style w:type="paragraph" w:styleId="Ttulo9">
    <w:name w:val="heading 9"/>
    <w:basedOn w:val="Heading"/>
    <w:next w:val="Textbody"/>
    <w:pPr>
      <w:spacing w:before="60" w:after="60"/>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cs="Nachlieli CLM"/>
      <w:b/>
      <w:bCs/>
      <w:sz w:val="28"/>
    </w:rPr>
  </w:style>
  <w:style w:type="paragraph" w:customStyle="1" w:styleId="Textbody">
    <w:name w:val="Text body"/>
    <w:basedOn w:val="Standard"/>
    <w:pPr>
      <w:spacing w:after="140" w:line="480" w:lineRule="auto"/>
    </w:pPr>
  </w:style>
  <w:style w:type="paragraph" w:styleId="Lista">
    <w:name w:val="List"/>
    <w:basedOn w:val="Textbody"/>
  </w:style>
  <w:style w:type="paragraph" w:styleId="Descripcin">
    <w:name w:val="caption"/>
    <w:basedOn w:val="Standard"/>
    <w:pPr>
      <w:suppressLineNumbers/>
      <w:spacing w:before="202" w:after="202"/>
    </w:pPr>
    <w:rPr>
      <w:i/>
      <w:szCs w:val="21"/>
    </w:rPr>
  </w:style>
  <w:style w:type="paragraph" w:customStyle="1" w:styleId="Index">
    <w:name w:val="Index"/>
    <w:basedOn w:val="Standard"/>
    <w:pPr>
      <w:suppressLineNumbers/>
    </w:pPr>
  </w:style>
  <w:style w:type="paragraph" w:styleId="Ttulo">
    <w:name w:val="Title"/>
    <w:basedOn w:val="Heading"/>
    <w:next w:val="Textbody"/>
    <w:uiPriority w:val="10"/>
    <w:qFormat/>
    <w:pPr>
      <w:jc w:val="center"/>
    </w:pPr>
    <w:rPr>
      <w:rFonts w:eastAsia="Liberation Serif" w:cs="Liberation Serif"/>
      <w:b w:val="0"/>
      <w:bCs w:val="0"/>
      <w:sz w:val="34"/>
      <w:szCs w:val="34"/>
    </w:rPr>
  </w:style>
  <w:style w:type="paragraph" w:customStyle="1" w:styleId="Authors">
    <w:name w:val="Authors"/>
    <w:basedOn w:val="Standard"/>
    <w:pPr>
      <w:spacing w:after="115"/>
      <w:jc w:val="center"/>
    </w:pPr>
    <w:rPr>
      <w:sz w:val="21"/>
    </w:rPr>
  </w:style>
  <w:style w:type="paragraph" w:customStyle="1" w:styleId="Affiliation">
    <w:name w:val="Affiliation"/>
    <w:basedOn w:val="Standard"/>
    <w:qFormat/>
    <w:rPr>
      <w:sz w:val="20"/>
      <w:szCs w:val="20"/>
      <w:vertAlign w:val="superscript"/>
    </w:rPr>
  </w:style>
  <w:style w:type="paragraph" w:customStyle="1" w:styleId="HeaderandFooter">
    <w:name w:val="Header and Footer"/>
    <w:basedOn w:val="Standard"/>
    <w:pPr>
      <w:suppressLineNumbers/>
      <w:tabs>
        <w:tab w:val="center" w:pos="4986"/>
        <w:tab w:val="right" w:pos="9972"/>
      </w:tabs>
    </w:pPr>
  </w:style>
  <w:style w:type="paragraph" w:styleId="Piedepgina">
    <w:name w:val="footer"/>
    <w:basedOn w:val="Standard"/>
    <w:pPr>
      <w:suppressLineNumbers/>
      <w:tabs>
        <w:tab w:val="center" w:pos="4680"/>
        <w:tab w:val="right" w:pos="9360"/>
      </w:tabs>
    </w:pPr>
  </w:style>
  <w:style w:type="paragraph" w:styleId="Encabezado">
    <w:name w:val="header"/>
    <w:basedOn w:val="Standard"/>
    <w:pPr>
      <w:suppressLineNumbers/>
      <w:tabs>
        <w:tab w:val="center" w:pos="4680"/>
        <w:tab w:val="right" w:pos="9360"/>
      </w:tabs>
    </w:pPr>
  </w:style>
  <w:style w:type="paragraph" w:customStyle="1" w:styleId="Abstracttext">
    <w:name w:val="Abstract_text"/>
    <w:basedOn w:val="Standard"/>
    <w:rPr>
      <w:sz w:val="22"/>
      <w:szCs w:val="22"/>
    </w:rPr>
  </w:style>
  <w:style w:type="paragraph" w:customStyle="1" w:styleId="Firstlineindent">
    <w:name w:val="First line indent"/>
    <w:basedOn w:val="Textbody"/>
    <w:pPr>
      <w:ind w:firstLine="283"/>
    </w:pPr>
  </w:style>
  <w:style w:type="paragraph" w:customStyle="1" w:styleId="Hangingindent">
    <w:name w:val="Hanging indent"/>
    <w:basedOn w:val="Textbody"/>
    <w:pPr>
      <w:tabs>
        <w:tab w:val="left" w:pos="567"/>
      </w:tabs>
      <w:ind w:left="567" w:hanging="283"/>
    </w:pPr>
  </w:style>
  <w:style w:type="paragraph" w:customStyle="1" w:styleId="Marginalia">
    <w:name w:val="Marginalia"/>
    <w:basedOn w:val="Textbody"/>
    <w:pPr>
      <w:ind w:left="2268"/>
    </w:pPr>
  </w:style>
  <w:style w:type="paragraph" w:customStyle="1" w:styleId="Textbodyindent">
    <w:name w:val="Text body indent"/>
    <w:basedOn w:val="Textbody"/>
    <w:pPr>
      <w:ind w:left="283"/>
    </w:pPr>
  </w:style>
  <w:style w:type="paragraph" w:customStyle="1" w:styleId="ListIndent">
    <w:name w:val="List Indent"/>
    <w:basedOn w:val="Textbody"/>
    <w:pPr>
      <w:tabs>
        <w:tab w:val="left" w:pos="2835"/>
      </w:tabs>
      <w:ind w:left="2835" w:hanging="2551"/>
    </w:pPr>
  </w:style>
  <w:style w:type="paragraph" w:styleId="Firma">
    <w:name w:val="Signature"/>
    <w:basedOn w:val="Standard"/>
    <w:pPr>
      <w:suppressLineNumbers/>
    </w:pPr>
  </w:style>
  <w:style w:type="paragraph" w:customStyle="1" w:styleId="Sender">
    <w:name w:val="Sender"/>
    <w:basedOn w:val="Standard"/>
    <w:pPr>
      <w:suppressLineNumbers/>
      <w:spacing w:after="60"/>
    </w:pPr>
  </w:style>
  <w:style w:type="paragraph" w:customStyle="1" w:styleId="TableContents">
    <w:name w:val="Table Contents"/>
    <w:basedOn w:val="Standard"/>
    <w:pPr>
      <w:suppressLineNumbers/>
    </w:pPr>
  </w:style>
  <w:style w:type="paragraph" w:customStyle="1" w:styleId="Quotations">
    <w:name w:val="Quotations"/>
    <w:basedOn w:val="Standard"/>
    <w:pPr>
      <w:spacing w:after="283"/>
      <w:ind w:left="567" w:right="567"/>
    </w:pPr>
  </w:style>
  <w:style w:type="paragraph" w:customStyle="1" w:styleId="PreformattedText">
    <w:name w:val="Preformatted Text"/>
    <w:basedOn w:val="Standard"/>
    <w:rPr>
      <w:rFonts w:ascii="Liberation Mono" w:hAnsi="Liberation Mono" w:cs="Liberation Mono"/>
      <w:sz w:val="20"/>
      <w:szCs w:val="20"/>
    </w:rPr>
  </w:style>
  <w:style w:type="paragraph" w:customStyle="1" w:styleId="ListContents">
    <w:name w:val="List Contents"/>
    <w:basedOn w:val="Standard"/>
    <w:pPr>
      <w:ind w:left="567"/>
    </w:pPr>
  </w:style>
  <w:style w:type="paragraph" w:customStyle="1" w:styleId="HorizontalLine">
    <w:name w:val="Horizontal Line"/>
    <w:basedOn w:val="Standard"/>
    <w:next w:val="Textbody"/>
    <w:pPr>
      <w:suppressLineNumbers/>
      <w:spacing w:after="283"/>
    </w:pPr>
    <w:rPr>
      <w:sz w:val="12"/>
      <w:szCs w:val="12"/>
    </w:rPr>
  </w:style>
  <w:style w:type="paragraph" w:customStyle="1" w:styleId="ListHeading">
    <w:name w:val="List Heading"/>
    <w:basedOn w:val="Standard"/>
    <w:next w:val="ListContents"/>
  </w:style>
  <w:style w:type="paragraph" w:customStyle="1" w:styleId="Addressee">
    <w:name w:val="Addressee"/>
    <w:basedOn w:val="Standard"/>
    <w:pPr>
      <w:suppressLineNumbers/>
      <w:spacing w:after="60"/>
    </w:pPr>
  </w:style>
  <w:style w:type="paragraph" w:customStyle="1" w:styleId="Headerleft">
    <w:name w:val="Header left"/>
    <w:basedOn w:val="Standard"/>
    <w:pPr>
      <w:suppressLineNumbers/>
      <w:tabs>
        <w:tab w:val="center" w:pos="4680"/>
        <w:tab w:val="right" w:pos="9360"/>
      </w:tabs>
    </w:pPr>
  </w:style>
  <w:style w:type="paragraph" w:customStyle="1" w:styleId="Headerright">
    <w:name w:val="Header right"/>
    <w:basedOn w:val="Standard"/>
    <w:pPr>
      <w:suppressLineNumbers/>
      <w:tabs>
        <w:tab w:val="center" w:pos="4680"/>
        <w:tab w:val="right" w:pos="9360"/>
      </w:tabs>
    </w:pPr>
  </w:style>
  <w:style w:type="paragraph" w:customStyle="1" w:styleId="Framecontents">
    <w:name w:val="Frame contents"/>
    <w:basedOn w:val="Standard"/>
  </w:style>
  <w:style w:type="paragraph" w:customStyle="1" w:styleId="Footerright">
    <w:name w:val="Footer right"/>
    <w:basedOn w:val="Standard"/>
    <w:pPr>
      <w:suppressLineNumbers/>
      <w:tabs>
        <w:tab w:val="center" w:pos="4680"/>
        <w:tab w:val="right" w:pos="9360"/>
      </w:tabs>
    </w:pPr>
  </w:style>
  <w:style w:type="paragraph" w:customStyle="1" w:styleId="Footerleft">
    <w:name w:val="Footer left"/>
    <w:basedOn w:val="Standard"/>
    <w:pPr>
      <w:suppressLineNumbers/>
      <w:tabs>
        <w:tab w:val="center" w:pos="4680"/>
        <w:tab w:val="right" w:pos="9360"/>
      </w:tabs>
    </w:pPr>
  </w:style>
  <w:style w:type="paragraph" w:customStyle="1" w:styleId="Endnote">
    <w:name w:val="Endnote"/>
    <w:basedOn w:val="Standard"/>
    <w:pPr>
      <w:suppressLineNumbers/>
      <w:ind w:left="339" w:hanging="339"/>
    </w:pPr>
    <w:rPr>
      <w:sz w:val="20"/>
      <w:szCs w:val="20"/>
    </w:rPr>
  </w:style>
  <w:style w:type="paragraph" w:styleId="Saludo">
    <w:name w:val="Salutation"/>
    <w:basedOn w:val="Standard"/>
    <w:pPr>
      <w:suppressLineNumbers/>
    </w:pPr>
  </w:style>
  <w:style w:type="paragraph" w:customStyle="1" w:styleId="CRediT">
    <w:name w:val="CRediT"/>
    <w:basedOn w:val="Standard"/>
    <w:pPr>
      <w:spacing w:after="29"/>
    </w:pPr>
    <w:rPr>
      <w:sz w:val="21"/>
      <w:szCs w:val="21"/>
    </w:rPr>
  </w:style>
  <w:style w:type="paragraph" w:customStyle="1" w:styleId="Heading10">
    <w:name w:val="Heading 10"/>
    <w:basedOn w:val="Heading"/>
    <w:next w:val="Textbody"/>
    <w:pPr>
      <w:spacing w:before="60" w:after="60"/>
    </w:pPr>
  </w:style>
  <w:style w:type="paragraph" w:styleId="Ttulodendice">
    <w:name w:val="index heading"/>
    <w:basedOn w:val="Heading"/>
    <w:pPr>
      <w:suppressLineNumbers/>
    </w:pPr>
    <w:rPr>
      <w:sz w:val="32"/>
      <w:szCs w:val="32"/>
    </w:rPr>
  </w:style>
  <w:style w:type="paragraph" w:customStyle="1" w:styleId="BibliographyHeading">
    <w:name w:val="Bibliography Heading"/>
    <w:basedOn w:val="Heading"/>
    <w:pPr>
      <w:suppressLineNumbers/>
    </w:pPr>
    <w:rPr>
      <w:sz w:val="32"/>
      <w:szCs w:val="32"/>
    </w:rPr>
  </w:style>
  <w:style w:type="paragraph" w:customStyle="1" w:styleId="ContentsHeading">
    <w:name w:val="Contents Heading"/>
    <w:basedOn w:val="Heading"/>
    <w:pPr>
      <w:suppressLineNumbers/>
    </w:pPr>
    <w:rPr>
      <w:sz w:val="32"/>
      <w:szCs w:val="32"/>
    </w:rPr>
  </w:style>
  <w:style w:type="paragraph" w:customStyle="1" w:styleId="IllustrationIndexHeading">
    <w:name w:val="Illustration Index Heading"/>
    <w:basedOn w:val="Heading"/>
    <w:pPr>
      <w:suppressLineNumbers/>
    </w:pPr>
    <w:rPr>
      <w:sz w:val="32"/>
      <w:szCs w:val="32"/>
    </w:rPr>
  </w:style>
  <w:style w:type="paragraph" w:customStyle="1" w:styleId="Objectindexheading">
    <w:name w:val="Object index heading"/>
    <w:basedOn w:val="Heading"/>
    <w:pPr>
      <w:suppressLineNumbers/>
    </w:pPr>
    <w:rPr>
      <w:sz w:val="32"/>
      <w:szCs w:val="32"/>
    </w:rPr>
  </w:style>
  <w:style w:type="paragraph" w:styleId="Subttulo">
    <w:name w:val="Subtitle"/>
    <w:basedOn w:val="Heading"/>
    <w:next w:val="Textbody"/>
    <w:uiPriority w:val="11"/>
    <w:qFormat/>
    <w:pPr>
      <w:spacing w:before="60"/>
      <w:jc w:val="center"/>
    </w:pPr>
    <w:rPr>
      <w:sz w:val="36"/>
      <w:szCs w:val="36"/>
    </w:rPr>
  </w:style>
  <w:style w:type="paragraph" w:customStyle="1" w:styleId="Tableindexheading">
    <w:name w:val="Table index heading"/>
    <w:basedOn w:val="Heading"/>
    <w:pPr>
      <w:suppressLineNumbers/>
    </w:pPr>
    <w:rPr>
      <w:sz w:val="32"/>
      <w:szCs w:val="32"/>
    </w:rPr>
  </w:style>
  <w:style w:type="paragraph" w:customStyle="1" w:styleId="UserIndexHeading">
    <w:name w:val="User Index Heading"/>
    <w:basedOn w:val="Heading"/>
    <w:pPr>
      <w:suppressLineNumbers/>
    </w:pPr>
    <w:rPr>
      <w:sz w:val="32"/>
      <w:szCs w:val="32"/>
    </w:rPr>
  </w:style>
  <w:style w:type="paragraph" w:customStyle="1" w:styleId="Drawing">
    <w:name w:val="Drawing"/>
    <w:basedOn w:val="Descripcin"/>
  </w:style>
  <w:style w:type="paragraph" w:customStyle="1" w:styleId="Illustration">
    <w:name w:val="Illustration"/>
    <w:basedOn w:val="Descripcin"/>
  </w:style>
  <w:style w:type="paragraph" w:customStyle="1" w:styleId="Text">
    <w:name w:val="Text"/>
    <w:basedOn w:val="Descripcin"/>
  </w:style>
  <w:style w:type="paragraph" w:customStyle="1" w:styleId="Table">
    <w:name w:val="Table"/>
    <w:basedOn w:val="Descripcin"/>
  </w:style>
  <w:style w:type="paragraph" w:customStyle="1" w:styleId="Footnote">
    <w:name w:val="Footnote"/>
    <w:basedOn w:val="Standard"/>
    <w:pPr>
      <w:suppressLineNumbers/>
      <w:ind w:left="339" w:hanging="339"/>
    </w:pPr>
    <w:rPr>
      <w:sz w:val="20"/>
      <w:szCs w:val="20"/>
    </w:rPr>
  </w:style>
  <w:style w:type="character" w:customStyle="1" w:styleId="Internetlink">
    <w:name w:val="Internet link"/>
    <w:rPr>
      <w:color w:val="000080"/>
      <w:u w:val="single"/>
    </w:rPr>
  </w:style>
  <w:style w:type="character" w:customStyle="1" w:styleId="Linenumbering">
    <w:name w:val="Line numbering"/>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StrongEmphasis">
    <w:name w:val="Strong Emphasis"/>
    <w:rPr>
      <w:b/>
      <w:bCs/>
    </w:rPr>
  </w:style>
  <w:style w:type="character" w:styleId="Hipervnculo">
    <w:name w:val="Hyperlink"/>
    <w:basedOn w:val="Fuentedeprrafopredeter"/>
    <w:uiPriority w:val="99"/>
    <w:unhideWhenUsed/>
    <w:rsid w:val="00501946"/>
    <w:rPr>
      <w:color w:val="467886" w:themeColor="hyperlink"/>
      <w:u w:val="single"/>
    </w:rPr>
  </w:style>
  <w:style w:type="character" w:styleId="Mencinsinresolver">
    <w:name w:val="Unresolved Mention"/>
    <w:basedOn w:val="Fuentedeprrafopredeter"/>
    <w:uiPriority w:val="99"/>
    <w:semiHidden/>
    <w:unhideWhenUsed/>
    <w:rsid w:val="00501946"/>
    <w:rPr>
      <w:color w:val="605E5C"/>
      <w:shd w:val="clear" w:color="auto" w:fill="E1DFDD"/>
    </w:rPr>
  </w:style>
  <w:style w:type="character" w:customStyle="1" w:styleId="TextoindependienteCar">
    <w:name w:val="Texto independiente Car"/>
    <w:basedOn w:val="Fuentedeprrafopredeter"/>
    <w:link w:val="Textoindependiente"/>
    <w:qFormat/>
    <w:rsid w:val="002C32A8"/>
    <w:rPr>
      <w:kern w:val="2"/>
    </w:rPr>
  </w:style>
  <w:style w:type="paragraph" w:styleId="Textoindependiente">
    <w:name w:val="Body Text"/>
    <w:basedOn w:val="Normal"/>
    <w:link w:val="TextoindependienteCar"/>
    <w:rsid w:val="002C32A8"/>
    <w:pPr>
      <w:autoSpaceDN/>
      <w:spacing w:after="240" w:line="480" w:lineRule="auto"/>
      <w:textAlignment w:val="auto"/>
    </w:pPr>
    <w:rPr>
      <w:kern w:val="2"/>
    </w:rPr>
  </w:style>
  <w:style w:type="character" w:customStyle="1" w:styleId="TextoindependienteCar1">
    <w:name w:val="Texto independiente Car1"/>
    <w:basedOn w:val="Fuentedeprrafopredeter"/>
    <w:uiPriority w:val="99"/>
    <w:semiHidden/>
    <w:rsid w:val="002C32A8"/>
  </w:style>
  <w:style w:type="table" w:styleId="Tablaconcuadrcula">
    <w:name w:val="Table Grid"/>
    <w:basedOn w:val="Tablanormal"/>
    <w:uiPriority w:val="39"/>
    <w:rsid w:val="002C32A8"/>
    <w:pPr>
      <w:autoSpaceDN/>
      <w:textAlignment w:val="auto"/>
    </w:pPr>
    <w:rPr>
      <w:rFonts w:ascii="Times New Roman" w:eastAsia="Times New Roman" w:hAnsi="Times New Roman" w:cs="Times New Roman"/>
      <w:kern w:val="0"/>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B45A13"/>
  </w:style>
  <w:style w:type="paragraph" w:customStyle="1" w:styleId="Caption1">
    <w:name w:val="Caption1"/>
    <w:basedOn w:val="Normal"/>
    <w:qFormat/>
    <w:rsid w:val="00B45A13"/>
    <w:pPr>
      <w:suppressLineNumbers/>
      <w:autoSpaceDN/>
      <w:spacing w:before="202" w:after="202"/>
      <w:textAlignment w:val="auto"/>
    </w:pPr>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pro@ucm.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F4936-9E6F-4097-BDFC-488AE9AF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5789</Words>
  <Characters>31843</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seismica-typed</vt:lpstr>
    </vt:vector>
  </TitlesOfParts>
  <Company/>
  <LinksUpToDate>false</LinksUpToDate>
  <CharactersWithSpaces>37557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seismica-typed</dc:title>
  <dc:creator>Usuario</dc:creator>
  <cp:lastModifiedBy>Yolanda de Pro Díaz</cp:lastModifiedBy>
  <cp:revision>12</cp:revision>
  <dcterms:created xsi:type="dcterms:W3CDTF">2025-07-03T10:12:00Z</dcterms:created>
  <dcterms:modified xsi:type="dcterms:W3CDTF">2025-07-08T08:53:00Z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0bd58bef-6678-30b9-a589-bf578a2ade2c</vt:lpwstr>
  </property>
  <property fmtid="{D5CDD505-2E9C-101B-9397-08002B2CF9AE}" pid="4" name="Mendeley Citation Style_1">
    <vt:lpwstr>http://www.zotero.org/styles/apa</vt:lpwstr>
  </property>
</Properties>
</file>