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8D7A" w14:textId="78DE8F5F" w:rsidR="00D01BBA" w:rsidRPr="00316086" w:rsidRDefault="00316086" w:rsidP="001D52EA">
      <w:pPr>
        <w:ind w:left="720" w:hanging="720"/>
        <w:jc w:val="right"/>
      </w:pPr>
      <w:r>
        <w:rPr>
          <w:iCs/>
        </w:rPr>
        <w:t>2</w:t>
      </w:r>
      <w:r w:rsidRPr="00316086">
        <w:rPr>
          <w:iCs/>
          <w:vertAlign w:val="superscript"/>
        </w:rPr>
        <w:t>nd</w:t>
      </w:r>
      <w:r w:rsidR="00B51CED" w:rsidRPr="00316086">
        <w:rPr>
          <w:iCs/>
        </w:rPr>
        <w:t xml:space="preserve"> </w:t>
      </w:r>
      <w:r>
        <w:rPr>
          <w:iCs/>
        </w:rPr>
        <w:t>March</w:t>
      </w:r>
      <w:r w:rsidR="00D01BBA" w:rsidRPr="00316086">
        <w:rPr>
          <w:iCs/>
        </w:rPr>
        <w:t xml:space="preserve"> 2026</w:t>
      </w:r>
    </w:p>
    <w:p w14:paraId="45C0C744" w14:textId="77777777" w:rsidR="00D01BBA" w:rsidRPr="00316086" w:rsidRDefault="00D01BBA" w:rsidP="00907257">
      <w:pPr>
        <w:jc w:val="both"/>
      </w:pPr>
    </w:p>
    <w:p w14:paraId="3E893A01" w14:textId="21B2FF51" w:rsidR="00BB1A0B" w:rsidRPr="00316086" w:rsidRDefault="2DBC5521" w:rsidP="7F1BB2FD">
      <w:pPr>
        <w:jc w:val="both"/>
      </w:pPr>
      <w:r w:rsidRPr="00316086">
        <w:t>Dear Edito</w:t>
      </w:r>
      <w:r w:rsidR="3E04FABE" w:rsidRPr="00316086">
        <w:t>r</w:t>
      </w:r>
      <w:r w:rsidR="692E43EE" w:rsidRPr="00316086">
        <w:t xml:space="preserve"> </w:t>
      </w:r>
      <w:r w:rsidR="3BD6668C" w:rsidRPr="00316086">
        <w:t xml:space="preserve">of </w:t>
      </w:r>
      <w:proofErr w:type="spellStart"/>
      <w:r w:rsidR="3BD6668C" w:rsidRPr="7F1BB2FD">
        <w:rPr>
          <w:i/>
          <w:iCs/>
        </w:rPr>
        <w:t>Seismica</w:t>
      </w:r>
      <w:proofErr w:type="spellEnd"/>
      <w:r w:rsidRPr="7F1BB2FD">
        <w:rPr>
          <w:i/>
          <w:iCs/>
        </w:rPr>
        <w:t>,</w:t>
      </w:r>
    </w:p>
    <w:p w14:paraId="31830C0F" w14:textId="77777777" w:rsidR="00BB1A0B" w:rsidRPr="00316086" w:rsidRDefault="00BB1A0B" w:rsidP="00907257">
      <w:pPr>
        <w:jc w:val="both"/>
      </w:pPr>
    </w:p>
    <w:p w14:paraId="679F4CC0" w14:textId="5F3A4689" w:rsidR="00D01BBA" w:rsidRDefault="00BB1A0B" w:rsidP="00907257">
      <w:pPr>
        <w:ind w:firstLine="720"/>
        <w:jc w:val="both"/>
        <w:rPr>
          <w:lang w:val="en-GB"/>
        </w:rPr>
      </w:pPr>
      <w:r w:rsidRPr="00316086">
        <w:t xml:space="preserve">Thank you for taking the time to handle our manuscript during its revision process. </w:t>
      </w:r>
      <w:r w:rsidR="009B421E">
        <w:t xml:space="preserve">We are grateful for the </w:t>
      </w:r>
      <w:r>
        <w:t xml:space="preserve">constructive and thorough </w:t>
      </w:r>
      <w:r w:rsidR="009B421E">
        <w:t>comments provided</w:t>
      </w:r>
      <w:r w:rsidR="009B421E" w:rsidRPr="00316086">
        <w:rPr>
          <w:iCs/>
        </w:rPr>
        <w:t xml:space="preserve"> </w:t>
      </w:r>
      <w:r w:rsidR="009B421E">
        <w:rPr>
          <w:iCs/>
        </w:rPr>
        <w:t>by</w:t>
      </w:r>
      <w:r>
        <w:t xml:space="preserve"> </w:t>
      </w:r>
      <w:r w:rsidRPr="00316086">
        <w:t>the reviewers</w:t>
      </w:r>
      <w:r w:rsidR="00B5318A" w:rsidRPr="00316086">
        <w:rPr>
          <w:iCs/>
        </w:rPr>
        <w:t>,</w:t>
      </w:r>
      <w:r w:rsidR="00D01BBA" w:rsidRPr="00316086">
        <w:rPr>
          <w:lang w:val="en-GB"/>
        </w:rPr>
        <w:t xml:space="preserve"> and we have considered and addressed them carefully.</w:t>
      </w:r>
    </w:p>
    <w:p w14:paraId="0EBF7612" w14:textId="77777777" w:rsidR="00DC0F86" w:rsidRPr="00316086" w:rsidRDefault="00DC0F86" w:rsidP="00907257">
      <w:pPr>
        <w:ind w:firstLine="720"/>
        <w:jc w:val="both"/>
        <w:rPr>
          <w:iCs/>
        </w:rPr>
      </w:pPr>
    </w:p>
    <w:p w14:paraId="4992C0E6" w14:textId="0C8D1656" w:rsidR="009A2FBF" w:rsidRDefault="00316086" w:rsidP="00907257">
      <w:pPr>
        <w:ind w:firstLine="720"/>
        <w:jc w:val="both"/>
        <w:rPr>
          <w:iCs/>
        </w:rPr>
      </w:pPr>
      <w:r w:rsidRPr="00316086">
        <w:rPr>
          <w:iCs/>
        </w:rPr>
        <w:t>In response to the reviewers' comments, the main changes to the manuscript are as follows: (</w:t>
      </w:r>
      <w:proofErr w:type="spellStart"/>
      <w:r w:rsidRPr="00316086">
        <w:rPr>
          <w:iCs/>
        </w:rPr>
        <w:t>i</w:t>
      </w:r>
      <w:proofErr w:type="spellEnd"/>
      <w:r w:rsidRPr="00316086">
        <w:rPr>
          <w:iCs/>
        </w:rPr>
        <w:t xml:space="preserve">) the structure of the manuscript has been revised, with Section 1.1 promoted to a standalone Section 2, and the operational details of the injection relocated to the Supplementary </w:t>
      </w:r>
      <w:r w:rsidR="00AD0591">
        <w:rPr>
          <w:iCs/>
        </w:rPr>
        <w:t>Materials, Text S1</w:t>
      </w:r>
      <w:r w:rsidRPr="00316086">
        <w:rPr>
          <w:iCs/>
        </w:rPr>
        <w:t xml:space="preserve">; (ii) Sections 2.1 and 2.2 have been merged into a single section (now Section 3.1), which has been expanded with additional clarifications on the temporal </w:t>
      </w:r>
      <w:r w:rsidRPr="009F636D">
        <w:rPr>
          <w:i/>
        </w:rPr>
        <w:t>b-</w:t>
      </w:r>
      <w:r w:rsidRPr="00316086">
        <w:rPr>
          <w:iCs/>
        </w:rPr>
        <w:t xml:space="preserve">value calculation; (iii) two new supplementary figures (Figures S4 and S5) have been added to support the </w:t>
      </w:r>
      <w:r w:rsidR="006B454D">
        <w:rPr>
          <w:iCs/>
        </w:rPr>
        <w:t>methodological choices for</w:t>
      </w:r>
      <w:r w:rsidRPr="00316086">
        <w:rPr>
          <w:iCs/>
        </w:rPr>
        <w:t xml:space="preserve"> the magnitude of completeness and b-value estimation; (iv) additional clarifications have been provided regarding the choice of the PCA-based fault plane fitting approach and the limitations of alternative clustering methods; and (v) several textual corrections and figure improvements have been made throughout the manuscript in response to specific comments.</w:t>
      </w:r>
    </w:p>
    <w:p w14:paraId="495972E0" w14:textId="77777777" w:rsidR="00DC0F86" w:rsidRDefault="00DC0F86" w:rsidP="00907257">
      <w:pPr>
        <w:ind w:firstLine="720"/>
        <w:jc w:val="both"/>
        <w:rPr>
          <w:iCs/>
        </w:rPr>
      </w:pPr>
    </w:p>
    <w:p w14:paraId="792AC715" w14:textId="5D456078" w:rsidR="00D01BBA" w:rsidRPr="00316086" w:rsidRDefault="00BB1A0B" w:rsidP="00907257">
      <w:pPr>
        <w:ind w:firstLine="720"/>
        <w:jc w:val="both"/>
      </w:pPr>
      <w:r w:rsidRPr="00316086">
        <w:t>We feel that these changes to the revised version adequately address the reviewer’s comments, making the manuscript suitable for publication – we hope that you agree.</w:t>
      </w:r>
    </w:p>
    <w:p w14:paraId="1D0C2C46" w14:textId="77777777" w:rsidR="00D01BBA" w:rsidRPr="00316086" w:rsidRDefault="00D01BBA" w:rsidP="00907257">
      <w:pPr>
        <w:ind w:firstLine="720"/>
        <w:jc w:val="both"/>
      </w:pPr>
    </w:p>
    <w:p w14:paraId="265AD16E" w14:textId="093A4F98" w:rsidR="00D01BBA" w:rsidRPr="00316086" w:rsidRDefault="00D01BBA" w:rsidP="00907257">
      <w:pPr>
        <w:ind w:firstLine="720"/>
        <w:jc w:val="both"/>
      </w:pPr>
      <w:r w:rsidRPr="00316086">
        <w:rPr>
          <w:lang w:val="en-GB"/>
        </w:rPr>
        <w:t xml:space="preserve">Below, </w:t>
      </w:r>
      <w:r w:rsidRPr="00316086">
        <w:t>we have outlined the comments of the reviewers and our responses to those comments in blue.</w:t>
      </w:r>
      <w:r w:rsidRPr="00316086">
        <w:rPr>
          <w:lang w:val="en-GB"/>
        </w:rPr>
        <w:t xml:space="preserve"> When necessary, changes have been made to the manuscript. The location of these changes within the tracked changes version of the manuscript (line number) is indicated in our responses.</w:t>
      </w:r>
    </w:p>
    <w:p w14:paraId="57A890D1" w14:textId="77777777" w:rsidR="00BB1A0B" w:rsidRPr="00316086" w:rsidRDefault="00BB1A0B" w:rsidP="00907257">
      <w:pPr>
        <w:jc w:val="both"/>
      </w:pPr>
    </w:p>
    <w:p w14:paraId="78C882A8" w14:textId="77777777" w:rsidR="00BB1A0B" w:rsidRPr="00316086" w:rsidRDefault="00BB1A0B" w:rsidP="00907257">
      <w:pPr>
        <w:jc w:val="both"/>
      </w:pPr>
      <w:r w:rsidRPr="00316086">
        <w:t>Thank you again,</w:t>
      </w:r>
    </w:p>
    <w:p w14:paraId="1FBC9BD5" w14:textId="77777777" w:rsidR="00907257" w:rsidRPr="00316086" w:rsidRDefault="00907257" w:rsidP="00907257">
      <w:pPr>
        <w:jc w:val="both"/>
      </w:pPr>
    </w:p>
    <w:p w14:paraId="68776213" w14:textId="2FD08C78" w:rsidR="00D01BBA" w:rsidRPr="00316086" w:rsidRDefault="00D01BBA" w:rsidP="00907257">
      <w:pPr>
        <w:jc w:val="both"/>
      </w:pPr>
      <w:r w:rsidRPr="00316086">
        <w:t xml:space="preserve">Federica Lanza </w:t>
      </w:r>
      <w:r w:rsidR="00BB1A0B" w:rsidRPr="00316086">
        <w:t>&amp; co-authors</w:t>
      </w:r>
    </w:p>
    <w:p w14:paraId="160720FC" w14:textId="77777777" w:rsidR="00E412D6" w:rsidRPr="00E412D6" w:rsidRDefault="00E412D6" w:rsidP="00907257">
      <w:pPr>
        <w:jc w:val="both"/>
        <w:rPr>
          <w:i/>
        </w:rPr>
      </w:pPr>
    </w:p>
    <w:p w14:paraId="79D2C042" w14:textId="7A36678C" w:rsidR="00BB1A0B" w:rsidRPr="00D01BBA" w:rsidRDefault="00BB1A0B" w:rsidP="00907257">
      <w:pPr>
        <w:jc w:val="both"/>
        <w:rPr>
          <w:i/>
        </w:rPr>
      </w:pPr>
      <w:r w:rsidRPr="00D01BBA">
        <w:rPr>
          <w:i/>
        </w:rPr>
        <w:br w:type="page"/>
      </w:r>
    </w:p>
    <w:p w14:paraId="01CF8D70" w14:textId="64DC8064" w:rsidR="00BB1A0B" w:rsidRDefault="00BB1A0B" w:rsidP="00907257">
      <w:pPr>
        <w:jc w:val="both"/>
        <w:rPr>
          <w:u w:val="single"/>
        </w:rPr>
      </w:pPr>
      <w:r w:rsidRPr="000D3BFC">
        <w:rPr>
          <w:u w:val="single"/>
        </w:rPr>
        <w:lastRenderedPageBreak/>
        <w:t>Editor:</w:t>
      </w:r>
    </w:p>
    <w:p w14:paraId="0D07B134" w14:textId="77777777" w:rsidR="00907257" w:rsidRPr="000D3BFC" w:rsidRDefault="00907257" w:rsidP="00907257">
      <w:pPr>
        <w:jc w:val="both"/>
        <w:rPr>
          <w:color w:val="000000"/>
          <w:sz w:val="22"/>
          <w:szCs w:val="22"/>
          <w:u w:val="single"/>
        </w:rPr>
      </w:pPr>
    </w:p>
    <w:p w14:paraId="33F81001" w14:textId="77777777" w:rsidR="00BB1A0B" w:rsidRDefault="2DBC5521" w:rsidP="7F1BB2FD">
      <w:pPr>
        <w:jc w:val="both"/>
        <w:rPr>
          <w:color w:val="000000"/>
        </w:rPr>
      </w:pPr>
      <w:r w:rsidRPr="7F1BB2FD">
        <w:rPr>
          <w:color w:val="000000" w:themeColor="text1"/>
        </w:rPr>
        <w:t xml:space="preserve">In addition to the reviewers’ comments, I would like to invite the authors to further reflect on the methodology used for estimating the Gutenberg-Richter b-value. Given the central role played by the b-value in the interpretation of the underlying physical mechanisms, and considering the non-stationary nature of the induced seismicity as well as the potential temporal variability of the magnitude of completeness, it would be helpful to clarify why alternative estimators that do not rely explicitly on a fixed completeness threshold were not considered. </w:t>
      </w:r>
      <w:proofErr w:type="gramStart"/>
      <w:r w:rsidRPr="7F1BB2FD">
        <w:rPr>
          <w:color w:val="000000" w:themeColor="text1"/>
        </w:rPr>
        <w:t>In particular, methods</w:t>
      </w:r>
      <w:proofErr w:type="gramEnd"/>
      <w:r w:rsidRPr="7F1BB2FD">
        <w:rPr>
          <w:color w:val="000000" w:themeColor="text1"/>
        </w:rPr>
        <w:t xml:space="preserve"> based on magnitude differences (e.g., b-positive or b-more-positive estimators) have been proposed to mitigate completeness-related biases and to increase the effective sample size. While I am not suggesting that the analysis must necessarily be redone using these approaches, a brief justification of the chosen methodology, or a discussion of the potential impact of alternative estimators on the results and interpretations, would strengthen the robustness of the conclusions.</w:t>
      </w:r>
    </w:p>
    <w:p w14:paraId="53E394A9" w14:textId="6D3D0C53" w:rsidR="000A522D" w:rsidRDefault="07317633" w:rsidP="7F1BB2FD">
      <w:pPr>
        <w:jc w:val="both"/>
        <w:rPr>
          <w:i/>
          <w:iCs/>
          <w:color w:val="0070C0"/>
        </w:rPr>
      </w:pPr>
      <w:r w:rsidRPr="7F1BB2FD">
        <w:rPr>
          <w:i/>
          <w:iCs/>
          <w:color w:val="0070C0"/>
        </w:rPr>
        <w:t>We thank the editor for the comments on the statistical analysis</w:t>
      </w:r>
      <w:r w:rsidR="00BC2B83">
        <w:rPr>
          <w:i/>
          <w:iCs/>
          <w:color w:val="0070C0"/>
        </w:rPr>
        <w:t xml:space="preserve">. In response, we </w:t>
      </w:r>
      <w:r w:rsidR="00484C57" w:rsidRPr="00484C57">
        <w:rPr>
          <w:i/>
          <w:iCs/>
          <w:color w:val="0070C0"/>
        </w:rPr>
        <w:t xml:space="preserve">have </w:t>
      </w:r>
      <w:r w:rsidR="00ED5C1C">
        <w:rPr>
          <w:i/>
          <w:iCs/>
          <w:color w:val="0070C0"/>
        </w:rPr>
        <w:t>now</w:t>
      </w:r>
      <w:r w:rsidR="00484C57" w:rsidRPr="00484C57">
        <w:rPr>
          <w:i/>
          <w:iCs/>
          <w:color w:val="0070C0"/>
        </w:rPr>
        <w:t xml:space="preserve"> </w:t>
      </w:r>
      <w:r w:rsidRPr="7F1BB2FD">
        <w:rPr>
          <w:i/>
          <w:iCs/>
          <w:color w:val="0070C0"/>
        </w:rPr>
        <w:t xml:space="preserve">clarified </w:t>
      </w:r>
      <w:r w:rsidR="00484C57" w:rsidRPr="00484C57">
        <w:rPr>
          <w:i/>
          <w:iCs/>
          <w:color w:val="0070C0"/>
        </w:rPr>
        <w:t xml:space="preserve">our methodological choices more explicitly </w:t>
      </w:r>
      <w:r w:rsidRPr="7F1BB2FD">
        <w:rPr>
          <w:i/>
          <w:iCs/>
          <w:color w:val="0070C0"/>
        </w:rPr>
        <w:t xml:space="preserve">in the </w:t>
      </w:r>
      <w:r w:rsidR="00484C57" w:rsidRPr="00484C57">
        <w:rPr>
          <w:i/>
          <w:iCs/>
          <w:color w:val="0070C0"/>
        </w:rPr>
        <w:t xml:space="preserve">revised </w:t>
      </w:r>
      <w:r w:rsidR="04EBB7B4" w:rsidRPr="7F1BB2FD">
        <w:rPr>
          <w:i/>
          <w:iCs/>
          <w:color w:val="0070C0"/>
        </w:rPr>
        <w:t xml:space="preserve">manuscript </w:t>
      </w:r>
      <w:r w:rsidR="00484C57" w:rsidRPr="00484C57">
        <w:rPr>
          <w:i/>
          <w:iCs/>
          <w:color w:val="0070C0"/>
        </w:rPr>
        <w:t>(</w:t>
      </w:r>
      <w:r w:rsidR="001754C3">
        <w:rPr>
          <w:i/>
          <w:iCs/>
          <w:color w:val="0070C0"/>
        </w:rPr>
        <w:t xml:space="preserve">lines </w:t>
      </w:r>
      <w:r w:rsidR="00484C57" w:rsidRPr="00484C57">
        <w:rPr>
          <w:i/>
          <w:iCs/>
          <w:color w:val="0070C0"/>
        </w:rPr>
        <w:t>2</w:t>
      </w:r>
      <w:r w:rsidR="000556B7">
        <w:rPr>
          <w:i/>
          <w:iCs/>
          <w:color w:val="0070C0"/>
        </w:rPr>
        <w:t>08</w:t>
      </w:r>
      <w:r w:rsidR="00484C57" w:rsidRPr="00484C57">
        <w:rPr>
          <w:i/>
          <w:iCs/>
          <w:color w:val="0070C0"/>
        </w:rPr>
        <w:t>–</w:t>
      </w:r>
      <w:r w:rsidR="00182BC2">
        <w:rPr>
          <w:i/>
          <w:iCs/>
          <w:color w:val="0070C0"/>
        </w:rPr>
        <w:t>22</w:t>
      </w:r>
      <w:r w:rsidR="00DF2934">
        <w:rPr>
          <w:i/>
          <w:iCs/>
          <w:color w:val="0070C0"/>
        </w:rPr>
        <w:t>4</w:t>
      </w:r>
      <w:r w:rsidR="00484C57" w:rsidRPr="00484C57">
        <w:rPr>
          <w:i/>
          <w:iCs/>
          <w:color w:val="0070C0"/>
        </w:rPr>
        <w:t>) and have included</w:t>
      </w:r>
      <w:r w:rsidR="04EBB7B4" w:rsidRPr="7F1BB2FD">
        <w:rPr>
          <w:i/>
          <w:iCs/>
          <w:color w:val="0070C0"/>
        </w:rPr>
        <w:t xml:space="preserve"> two additional supplementary figures</w:t>
      </w:r>
      <w:r w:rsidR="00484C57" w:rsidRPr="00484C57">
        <w:rPr>
          <w:i/>
          <w:iCs/>
          <w:color w:val="0070C0"/>
        </w:rPr>
        <w:t xml:space="preserve"> (</w:t>
      </w:r>
      <w:r w:rsidR="00562EE1">
        <w:rPr>
          <w:i/>
          <w:iCs/>
          <w:color w:val="0070C0"/>
        </w:rPr>
        <w:t>Figures S4 and S5</w:t>
      </w:r>
      <w:r w:rsidR="04EBB7B4" w:rsidRPr="7F1BB2FD">
        <w:rPr>
          <w:i/>
          <w:iCs/>
          <w:color w:val="0070C0"/>
        </w:rPr>
        <w:t>)</w:t>
      </w:r>
      <w:r w:rsidRPr="7F1BB2FD">
        <w:rPr>
          <w:i/>
          <w:iCs/>
          <w:color w:val="0070C0"/>
        </w:rPr>
        <w:t xml:space="preserve">. </w:t>
      </w:r>
      <w:r w:rsidR="005174B4">
        <w:rPr>
          <w:i/>
          <w:iCs/>
          <w:color w:val="0070C0"/>
        </w:rPr>
        <w:t>Furthermore, we</w:t>
      </w:r>
      <w:r w:rsidR="4A1379BB" w:rsidRPr="7F1BB2FD">
        <w:rPr>
          <w:i/>
          <w:iCs/>
          <w:color w:val="0070C0"/>
        </w:rPr>
        <w:t xml:space="preserve"> report here the main reasons for </w:t>
      </w:r>
      <w:r w:rsidR="0039027D" w:rsidRPr="7F1BB2FD">
        <w:rPr>
          <w:i/>
          <w:iCs/>
          <w:color w:val="0070C0"/>
        </w:rPr>
        <w:t>choosing</w:t>
      </w:r>
      <w:r w:rsidR="4A1379BB" w:rsidRPr="7F1BB2FD">
        <w:rPr>
          <w:i/>
          <w:iCs/>
          <w:color w:val="0070C0"/>
        </w:rPr>
        <w:t xml:space="preserve"> maximum curvature (MAXC, </w:t>
      </w:r>
      <w:r w:rsidR="40F6D812" w:rsidRPr="7F1BB2FD">
        <w:rPr>
          <w:i/>
          <w:iCs/>
          <w:color w:val="0070C0"/>
        </w:rPr>
        <w:t>Wiemer &amp; Wyss 2000 and Woessner &amp; Wiemer 2005</w:t>
      </w:r>
      <w:r w:rsidR="4A1379BB" w:rsidRPr="7F1BB2FD">
        <w:rPr>
          <w:i/>
          <w:iCs/>
          <w:color w:val="0070C0"/>
        </w:rPr>
        <w:t>)</w:t>
      </w:r>
      <w:r w:rsidR="40F6D812" w:rsidRPr="7F1BB2FD">
        <w:rPr>
          <w:i/>
          <w:iCs/>
          <w:color w:val="0070C0"/>
        </w:rPr>
        <w:t xml:space="preserve"> and the classical b-value estimator</w:t>
      </w:r>
      <w:r w:rsidR="5A9A6F31" w:rsidRPr="7F1BB2FD">
        <w:rPr>
          <w:i/>
          <w:iCs/>
          <w:color w:val="0070C0"/>
        </w:rPr>
        <w:t>.</w:t>
      </w:r>
    </w:p>
    <w:p w14:paraId="037E0760" w14:textId="77777777" w:rsidR="00701E10" w:rsidRDefault="00701E10" w:rsidP="00907257">
      <w:pPr>
        <w:jc w:val="both"/>
        <w:rPr>
          <w:i/>
          <w:iCs/>
          <w:color w:val="0070C0"/>
        </w:rPr>
      </w:pPr>
    </w:p>
    <w:p w14:paraId="65BB123D" w14:textId="633D72EE" w:rsidR="00701E10" w:rsidRDefault="5A9A6F31" w:rsidP="7F1BB2FD">
      <w:pPr>
        <w:jc w:val="both"/>
        <w:rPr>
          <w:i/>
          <w:iCs/>
          <w:color w:val="0070C0"/>
        </w:rPr>
      </w:pPr>
      <w:r w:rsidRPr="7F1BB2FD">
        <w:rPr>
          <w:i/>
          <w:iCs/>
          <w:color w:val="0070C0"/>
        </w:rPr>
        <w:t xml:space="preserve">For the choice of the Mc method, </w:t>
      </w:r>
      <w:r w:rsidR="53BB3178" w:rsidRPr="7F1BB2FD">
        <w:rPr>
          <w:i/>
          <w:iCs/>
          <w:color w:val="0070C0"/>
        </w:rPr>
        <w:t xml:space="preserve">the </w:t>
      </w:r>
      <w:r w:rsidR="00986793">
        <w:rPr>
          <w:i/>
          <w:iCs/>
          <w:color w:val="0070C0"/>
        </w:rPr>
        <w:t>selection</w:t>
      </w:r>
      <w:r w:rsidR="53BB3178" w:rsidRPr="7F1BB2FD">
        <w:rPr>
          <w:i/>
          <w:iCs/>
          <w:color w:val="0070C0"/>
        </w:rPr>
        <w:t xml:space="preserve"> of MAXC+0.2 stemmed from a wish to use the same estimator for all stages (despite the low number of events in stage 1). MAXC with a correction of </w:t>
      </w:r>
      <w:r w:rsidR="021789E2" w:rsidRPr="7F1BB2FD">
        <w:rPr>
          <w:i/>
          <w:iCs/>
          <w:color w:val="0070C0"/>
        </w:rPr>
        <w:t>+</w:t>
      </w:r>
      <w:r w:rsidR="53BB3178" w:rsidRPr="7F1BB2FD">
        <w:rPr>
          <w:i/>
          <w:iCs/>
          <w:color w:val="0070C0"/>
        </w:rPr>
        <w:t xml:space="preserve">0.2 allows for a </w:t>
      </w:r>
      <w:r w:rsidR="0039027D" w:rsidRPr="7F1BB2FD">
        <w:rPr>
          <w:i/>
          <w:iCs/>
          <w:color w:val="0070C0"/>
        </w:rPr>
        <w:t>reasonable</w:t>
      </w:r>
      <w:r w:rsidR="53BB3178" w:rsidRPr="7F1BB2FD">
        <w:rPr>
          <w:i/>
          <w:iCs/>
          <w:color w:val="0070C0"/>
        </w:rPr>
        <w:t xml:space="preserve"> estimation of the completeness (although subject to discussion as always for cases of highly tapered </w:t>
      </w:r>
      <w:r w:rsidR="342BB77D" w:rsidRPr="7F1BB2FD">
        <w:rPr>
          <w:i/>
          <w:iCs/>
          <w:color w:val="0070C0"/>
        </w:rPr>
        <w:t xml:space="preserve">FMDs often seen in injection-induced seismicity, stage 3 showing a great example of such a tapered distribution). More conservative methods like </w:t>
      </w:r>
      <w:r w:rsidR="59C0B8C4" w:rsidRPr="7F1BB2FD">
        <w:rPr>
          <w:i/>
          <w:iCs/>
          <w:color w:val="0070C0"/>
        </w:rPr>
        <w:t xml:space="preserve">Kolmogorov-Smirnov (K-S; </w:t>
      </w:r>
      <w:proofErr w:type="spellStart"/>
      <w:r w:rsidR="59C0B8C4" w:rsidRPr="7F1BB2FD">
        <w:rPr>
          <w:i/>
          <w:iCs/>
          <w:color w:val="0070C0"/>
        </w:rPr>
        <w:t>Clauset</w:t>
      </w:r>
      <w:proofErr w:type="spellEnd"/>
      <w:r w:rsidR="59C0B8C4" w:rsidRPr="7F1BB2FD">
        <w:rPr>
          <w:i/>
          <w:iCs/>
          <w:color w:val="0070C0"/>
        </w:rPr>
        <w:t xml:space="preserve"> et al., 2009 and Mizrahi et al., 2021) did not allow for a trustworthy estimation for all three stages (see table below). </w:t>
      </w:r>
    </w:p>
    <w:p w14:paraId="10C98B11" w14:textId="77777777" w:rsidR="00701E10" w:rsidRDefault="00701E10" w:rsidP="00907257">
      <w:pPr>
        <w:jc w:val="both"/>
        <w:rPr>
          <w:i/>
          <w:iCs/>
          <w:color w:val="0070C0"/>
        </w:rPr>
      </w:pPr>
    </w:p>
    <w:p w14:paraId="330DAAB2" w14:textId="5AA4BE36" w:rsidR="009F7775" w:rsidRPr="00526C61" w:rsidRDefault="004777A5" w:rsidP="00907257">
      <w:pPr>
        <w:jc w:val="both"/>
        <w:rPr>
          <w:i/>
          <w:iCs/>
          <w:color w:val="0070C0"/>
        </w:rPr>
      </w:pPr>
      <w:r>
        <w:rPr>
          <w:i/>
          <w:iCs/>
          <w:color w:val="0070C0"/>
        </w:rPr>
        <w:t xml:space="preserve">In regards to </w:t>
      </w:r>
      <w:r w:rsidR="00B36824">
        <w:rPr>
          <w:i/>
          <w:iCs/>
          <w:color w:val="0070C0"/>
        </w:rPr>
        <w:t xml:space="preserve">alternative b-value estimators </w:t>
      </w:r>
      <w:r w:rsidR="000F308C">
        <w:rPr>
          <w:i/>
          <w:iCs/>
          <w:color w:val="0070C0"/>
        </w:rPr>
        <w:t xml:space="preserve">that would allow for independence from </w:t>
      </w:r>
      <w:r w:rsidR="008C608A">
        <w:rPr>
          <w:i/>
          <w:iCs/>
          <w:color w:val="0070C0"/>
        </w:rPr>
        <w:t xml:space="preserve">the magnitude of </w:t>
      </w:r>
      <w:r w:rsidR="000F308C">
        <w:rPr>
          <w:i/>
          <w:iCs/>
          <w:color w:val="0070C0"/>
        </w:rPr>
        <w:t>completeness</w:t>
      </w:r>
      <w:r w:rsidR="008C608A">
        <w:rPr>
          <w:i/>
          <w:iCs/>
          <w:color w:val="0070C0"/>
        </w:rPr>
        <w:t xml:space="preserve">, </w:t>
      </w:r>
      <w:r w:rsidR="002F18D6">
        <w:rPr>
          <w:i/>
          <w:iCs/>
          <w:color w:val="0070C0"/>
        </w:rPr>
        <w:t>we did check for b+ (</w:t>
      </w:r>
      <w:r w:rsidR="001A1049">
        <w:rPr>
          <w:i/>
          <w:iCs/>
          <w:color w:val="0070C0"/>
        </w:rPr>
        <w:t>van der Elst, 2021)</w:t>
      </w:r>
      <w:r w:rsidR="009C116A">
        <w:rPr>
          <w:i/>
          <w:iCs/>
          <w:color w:val="0070C0"/>
        </w:rPr>
        <w:t>:</w:t>
      </w:r>
      <w:r w:rsidR="00DD59D7">
        <w:rPr>
          <w:i/>
          <w:iCs/>
          <w:color w:val="0070C0"/>
        </w:rPr>
        <w:t xml:space="preserve"> the comparison between stages remains </w:t>
      </w:r>
      <w:r w:rsidR="0039027D">
        <w:rPr>
          <w:i/>
          <w:iCs/>
          <w:color w:val="0070C0"/>
        </w:rPr>
        <w:t>consistent</w:t>
      </w:r>
      <w:r w:rsidR="00DD59D7">
        <w:rPr>
          <w:i/>
          <w:iCs/>
          <w:color w:val="0070C0"/>
        </w:rPr>
        <w:t xml:space="preserve"> (see table below), and the transient b-value still displays a similar pattern (see </w:t>
      </w:r>
      <w:r w:rsidR="005437AF">
        <w:rPr>
          <w:i/>
          <w:iCs/>
          <w:color w:val="0070C0"/>
        </w:rPr>
        <w:t xml:space="preserve">also </w:t>
      </w:r>
      <w:r w:rsidR="00DD59D7">
        <w:rPr>
          <w:i/>
          <w:iCs/>
          <w:color w:val="0070C0"/>
        </w:rPr>
        <w:t xml:space="preserve">reply to Reviewer #1 point 2-a, and </w:t>
      </w:r>
      <w:r w:rsidR="005437AF">
        <w:rPr>
          <w:i/>
          <w:iCs/>
          <w:color w:val="0070C0"/>
        </w:rPr>
        <w:t xml:space="preserve">now </w:t>
      </w:r>
      <w:r w:rsidR="00DD59D7">
        <w:rPr>
          <w:i/>
          <w:iCs/>
          <w:color w:val="0070C0"/>
        </w:rPr>
        <w:t>Figure S</w:t>
      </w:r>
      <w:r w:rsidR="005437AF">
        <w:rPr>
          <w:i/>
          <w:iCs/>
          <w:color w:val="0070C0"/>
        </w:rPr>
        <w:t>5</w:t>
      </w:r>
      <w:r w:rsidR="00DD59D7">
        <w:rPr>
          <w:i/>
          <w:iCs/>
          <w:color w:val="0070C0"/>
        </w:rPr>
        <w:t xml:space="preserve">). This suggests that </w:t>
      </w:r>
      <w:r w:rsidR="00AC0CA6">
        <w:rPr>
          <w:i/>
          <w:iCs/>
          <w:color w:val="0070C0"/>
        </w:rPr>
        <w:t xml:space="preserve">the catalog does not suffer from short-term aftershock incompleteness and that using the classical b-value is </w:t>
      </w:r>
      <w:r w:rsidR="0039027D">
        <w:rPr>
          <w:i/>
          <w:iCs/>
          <w:color w:val="0070C0"/>
        </w:rPr>
        <w:t>preferable</w:t>
      </w:r>
      <w:r w:rsidR="00726EB8">
        <w:rPr>
          <w:i/>
          <w:iCs/>
          <w:color w:val="0070C0"/>
        </w:rPr>
        <w:t xml:space="preserve"> as it allows the analysis to consider more events. We did not </w:t>
      </w:r>
      <w:r w:rsidR="0067012B">
        <w:rPr>
          <w:i/>
          <w:iCs/>
          <w:color w:val="0070C0"/>
        </w:rPr>
        <w:t>test</w:t>
      </w:r>
      <w:r w:rsidR="00726EB8">
        <w:rPr>
          <w:i/>
          <w:iCs/>
          <w:color w:val="0070C0"/>
        </w:rPr>
        <w:t xml:space="preserve"> b-more-positive, </w:t>
      </w:r>
      <w:r w:rsidR="0067012B">
        <w:rPr>
          <w:i/>
          <w:iCs/>
          <w:color w:val="0070C0"/>
        </w:rPr>
        <w:t>however,</w:t>
      </w:r>
      <w:r w:rsidR="00726EB8">
        <w:rPr>
          <w:i/>
          <w:iCs/>
          <w:color w:val="0070C0"/>
        </w:rPr>
        <w:t xml:space="preserve"> </w:t>
      </w:r>
      <w:r w:rsidR="00903DB3">
        <w:rPr>
          <w:i/>
          <w:iCs/>
          <w:color w:val="0070C0"/>
        </w:rPr>
        <w:t>given</w:t>
      </w:r>
      <w:r w:rsidR="00A741D3">
        <w:rPr>
          <w:i/>
          <w:iCs/>
          <w:color w:val="0070C0"/>
        </w:rPr>
        <w:t xml:space="preserve"> </w:t>
      </w:r>
      <w:r w:rsidR="00726EB8">
        <w:rPr>
          <w:i/>
          <w:iCs/>
          <w:color w:val="0070C0"/>
        </w:rPr>
        <w:t xml:space="preserve">the </w:t>
      </w:r>
      <w:r w:rsidR="006F6AD0">
        <w:rPr>
          <w:i/>
          <w:iCs/>
          <w:color w:val="0070C0"/>
        </w:rPr>
        <w:t>similarity of results</w:t>
      </w:r>
      <w:r w:rsidR="00726EB8">
        <w:rPr>
          <w:i/>
          <w:iCs/>
          <w:color w:val="0070C0"/>
        </w:rPr>
        <w:t xml:space="preserve"> </w:t>
      </w:r>
      <w:r w:rsidR="0039027D">
        <w:rPr>
          <w:i/>
          <w:iCs/>
          <w:color w:val="0070C0"/>
        </w:rPr>
        <w:t>between</w:t>
      </w:r>
      <w:r w:rsidR="00726EB8">
        <w:rPr>
          <w:i/>
          <w:iCs/>
          <w:color w:val="0070C0"/>
        </w:rPr>
        <w:t xml:space="preserve"> b+ and classical b-value</w:t>
      </w:r>
      <w:r w:rsidR="00903DB3">
        <w:rPr>
          <w:i/>
          <w:iCs/>
          <w:color w:val="0070C0"/>
        </w:rPr>
        <w:t xml:space="preserve"> approaches</w:t>
      </w:r>
      <w:r w:rsidR="00A741D3">
        <w:rPr>
          <w:i/>
          <w:iCs/>
          <w:color w:val="0070C0"/>
        </w:rPr>
        <w:t xml:space="preserve">, </w:t>
      </w:r>
      <w:r w:rsidR="00A741D3" w:rsidRPr="009C532E">
        <w:rPr>
          <w:i/>
          <w:iCs/>
          <w:color w:val="0070C0"/>
        </w:rPr>
        <w:t>we believe</w:t>
      </w:r>
      <w:r w:rsidR="00F40C9B" w:rsidRPr="009C532E">
        <w:rPr>
          <w:i/>
          <w:iCs/>
          <w:color w:val="0070C0"/>
        </w:rPr>
        <w:t xml:space="preserve"> that </w:t>
      </w:r>
      <w:r w:rsidR="00C35D00" w:rsidRPr="009C532E">
        <w:rPr>
          <w:i/>
          <w:iCs/>
          <w:color w:val="0070C0"/>
        </w:rPr>
        <w:t>further exploration of th</w:t>
      </w:r>
      <w:r w:rsidR="00A5491B">
        <w:rPr>
          <w:i/>
          <w:iCs/>
          <w:color w:val="0070C0"/>
        </w:rPr>
        <w:t xml:space="preserve">e latter </w:t>
      </w:r>
      <w:r w:rsidR="00C35D00" w:rsidRPr="009C532E">
        <w:rPr>
          <w:i/>
          <w:iCs/>
          <w:color w:val="0070C0"/>
        </w:rPr>
        <w:t>is unlikely to yield meaningfully different conclusions.</w:t>
      </w:r>
    </w:p>
    <w:p w14:paraId="221AACA3" w14:textId="77777777" w:rsidR="00C41405" w:rsidRDefault="00C41405" w:rsidP="00C41405">
      <w:pPr>
        <w:jc w:val="both"/>
      </w:pPr>
    </w:p>
    <w:tbl>
      <w:tblPr>
        <w:tblW w:w="9100" w:type="dxa"/>
        <w:tblLook w:val="04A0" w:firstRow="1" w:lastRow="0" w:firstColumn="1" w:lastColumn="0" w:noHBand="0" w:noVBand="1"/>
      </w:tblPr>
      <w:tblGrid>
        <w:gridCol w:w="1300"/>
        <w:gridCol w:w="1300"/>
        <w:gridCol w:w="1300"/>
        <w:gridCol w:w="1300"/>
        <w:gridCol w:w="1300"/>
        <w:gridCol w:w="1300"/>
        <w:gridCol w:w="1300"/>
      </w:tblGrid>
      <w:tr w:rsidR="00CB59B3" w14:paraId="0132E09C" w14:textId="77777777" w:rsidTr="00AF38D4">
        <w:trPr>
          <w:trHeight w:val="340"/>
        </w:trPr>
        <w:tc>
          <w:tcPr>
            <w:tcW w:w="1300" w:type="dxa"/>
            <w:tcBorders>
              <w:top w:val="nil"/>
              <w:left w:val="nil"/>
              <w:bottom w:val="single" w:sz="8" w:space="0" w:color="auto"/>
              <w:right w:val="single" w:sz="4" w:space="0" w:color="auto"/>
            </w:tcBorders>
            <w:noWrap/>
            <w:vAlign w:val="bottom"/>
            <w:hideMark/>
          </w:tcPr>
          <w:p w14:paraId="745DAA8D" w14:textId="77777777" w:rsidR="00C41405" w:rsidRPr="00D145EF" w:rsidRDefault="00C41405" w:rsidP="002A3A51">
            <w:pPr>
              <w:rPr>
                <w:sz w:val="22"/>
                <w:szCs w:val="22"/>
              </w:rPr>
            </w:pP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864CC0C"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Mc Method</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DF4C6B1"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Mc</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2776871"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b-value</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9EE7F5C"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std-b</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D98AAC4"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b+</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4DBD97A" w14:textId="77777777" w:rsidR="00C41405" w:rsidRPr="00D145EF" w:rsidRDefault="00C41405" w:rsidP="002A3A51">
            <w:pPr>
              <w:rPr>
                <w:rFonts w:ascii="Aptos Narrow" w:hAnsi="Aptos Narrow"/>
                <w:b/>
                <w:color w:val="000000"/>
                <w:sz w:val="22"/>
                <w:szCs w:val="22"/>
              </w:rPr>
            </w:pPr>
            <w:r w:rsidRPr="00D145EF">
              <w:rPr>
                <w:rFonts w:ascii="Aptos Narrow" w:hAnsi="Aptos Narrow"/>
                <w:b/>
                <w:color w:val="000000"/>
                <w:sz w:val="22"/>
                <w:szCs w:val="22"/>
              </w:rPr>
              <w:t>std-b+</w:t>
            </w:r>
          </w:p>
        </w:tc>
      </w:tr>
      <w:tr w:rsidR="0094282B" w14:paraId="57F69EB8" w14:textId="77777777" w:rsidTr="00AF38D4">
        <w:trPr>
          <w:trHeight w:val="320"/>
        </w:trPr>
        <w:tc>
          <w:tcPr>
            <w:tcW w:w="1300" w:type="dxa"/>
            <w:vMerge w:val="restart"/>
            <w:tcBorders>
              <w:top w:val="single" w:sz="8" w:space="0" w:color="auto"/>
              <w:left w:val="single" w:sz="8" w:space="0" w:color="auto"/>
              <w:bottom w:val="single" w:sz="4" w:space="0" w:color="auto"/>
              <w:right w:val="single" w:sz="4" w:space="0" w:color="auto"/>
            </w:tcBorders>
            <w:noWrap/>
            <w:vAlign w:val="bottom"/>
            <w:hideMark/>
          </w:tcPr>
          <w:p w14:paraId="17DF787F" w14:textId="77777777" w:rsidR="00C41405" w:rsidRPr="00D145EF" w:rsidRDefault="00C41405" w:rsidP="002A3A51">
            <w:pPr>
              <w:jc w:val="center"/>
              <w:rPr>
                <w:rFonts w:ascii="Aptos Narrow" w:hAnsi="Aptos Narrow"/>
                <w:b/>
                <w:color w:val="000000"/>
                <w:sz w:val="22"/>
                <w:szCs w:val="22"/>
              </w:rPr>
            </w:pPr>
            <w:r w:rsidRPr="00D145EF">
              <w:rPr>
                <w:rFonts w:ascii="Aptos Narrow" w:hAnsi="Aptos Narrow"/>
                <w:b/>
                <w:color w:val="000000"/>
                <w:sz w:val="22"/>
                <w:szCs w:val="22"/>
              </w:rPr>
              <w:t>Stage 1</w:t>
            </w:r>
          </w:p>
        </w:tc>
        <w:tc>
          <w:tcPr>
            <w:tcW w:w="1300" w:type="dxa"/>
            <w:tcBorders>
              <w:top w:val="single" w:sz="4" w:space="0" w:color="auto"/>
              <w:left w:val="single" w:sz="4" w:space="0" w:color="auto"/>
              <w:bottom w:val="single" w:sz="4" w:space="0" w:color="auto"/>
              <w:right w:val="nil"/>
            </w:tcBorders>
            <w:noWrap/>
            <w:vAlign w:val="bottom"/>
            <w:hideMark/>
          </w:tcPr>
          <w:p w14:paraId="731E5FF9"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MAXC +0.2</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F54D5DE"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-1.09</w:t>
            </w:r>
          </w:p>
        </w:tc>
        <w:tc>
          <w:tcPr>
            <w:tcW w:w="1300" w:type="dxa"/>
            <w:tcBorders>
              <w:top w:val="single" w:sz="4" w:space="0" w:color="auto"/>
              <w:left w:val="nil"/>
              <w:bottom w:val="single" w:sz="4" w:space="0" w:color="auto"/>
              <w:right w:val="single" w:sz="4" w:space="0" w:color="auto"/>
            </w:tcBorders>
            <w:noWrap/>
            <w:vAlign w:val="bottom"/>
            <w:hideMark/>
          </w:tcPr>
          <w:p w14:paraId="249D9837"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1.95</w:t>
            </w:r>
          </w:p>
        </w:tc>
        <w:tc>
          <w:tcPr>
            <w:tcW w:w="1300" w:type="dxa"/>
            <w:tcBorders>
              <w:top w:val="single" w:sz="4" w:space="0" w:color="auto"/>
              <w:left w:val="nil"/>
              <w:bottom w:val="single" w:sz="4" w:space="0" w:color="auto"/>
              <w:right w:val="single" w:sz="4" w:space="0" w:color="auto"/>
            </w:tcBorders>
            <w:noWrap/>
            <w:vAlign w:val="bottom"/>
            <w:hideMark/>
          </w:tcPr>
          <w:p w14:paraId="4CE5457B"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0.16</w:t>
            </w:r>
          </w:p>
        </w:tc>
        <w:tc>
          <w:tcPr>
            <w:tcW w:w="1300" w:type="dxa"/>
            <w:tcBorders>
              <w:top w:val="single" w:sz="4" w:space="0" w:color="auto"/>
              <w:left w:val="nil"/>
              <w:bottom w:val="single" w:sz="4" w:space="0" w:color="auto"/>
              <w:right w:val="single" w:sz="4" w:space="0" w:color="auto"/>
            </w:tcBorders>
            <w:noWrap/>
            <w:vAlign w:val="bottom"/>
            <w:hideMark/>
          </w:tcPr>
          <w:p w14:paraId="12A74ED0"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2.11</w:t>
            </w:r>
          </w:p>
        </w:tc>
        <w:tc>
          <w:tcPr>
            <w:tcW w:w="1300" w:type="dxa"/>
            <w:tcBorders>
              <w:top w:val="single" w:sz="4" w:space="0" w:color="auto"/>
              <w:left w:val="nil"/>
              <w:bottom w:val="single" w:sz="4" w:space="0" w:color="auto"/>
              <w:right w:val="single" w:sz="8" w:space="0" w:color="auto"/>
            </w:tcBorders>
            <w:noWrap/>
            <w:vAlign w:val="bottom"/>
            <w:hideMark/>
          </w:tcPr>
          <w:p w14:paraId="37872DD9"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0.19</w:t>
            </w:r>
          </w:p>
        </w:tc>
      </w:tr>
      <w:tr w:rsidR="0094282B" w14:paraId="00EE5053" w14:textId="77777777" w:rsidTr="00AF38D4">
        <w:trPr>
          <w:trHeight w:val="320"/>
        </w:trPr>
        <w:tc>
          <w:tcPr>
            <w:tcW w:w="1300" w:type="dxa"/>
            <w:vMerge/>
            <w:tcBorders>
              <w:top w:val="single" w:sz="8" w:space="0" w:color="auto"/>
              <w:left w:val="single" w:sz="8" w:space="0" w:color="auto"/>
              <w:bottom w:val="single" w:sz="4" w:space="0" w:color="auto"/>
              <w:right w:val="single" w:sz="4" w:space="0" w:color="auto"/>
            </w:tcBorders>
            <w:vAlign w:val="center"/>
            <w:hideMark/>
          </w:tcPr>
          <w:p w14:paraId="2B33DE39" w14:textId="77777777" w:rsidR="00C41405" w:rsidRPr="00D145EF" w:rsidRDefault="00C41405" w:rsidP="002A3A51">
            <w:pPr>
              <w:rPr>
                <w:rFonts w:ascii="Aptos Narrow" w:hAnsi="Aptos Narrow"/>
                <w:b/>
                <w:color w:val="000000"/>
                <w:sz w:val="22"/>
                <w:szCs w:val="22"/>
              </w:rPr>
            </w:pPr>
          </w:p>
        </w:tc>
        <w:tc>
          <w:tcPr>
            <w:tcW w:w="1300" w:type="dxa"/>
            <w:tcBorders>
              <w:top w:val="single" w:sz="4" w:space="0" w:color="auto"/>
              <w:left w:val="single" w:sz="4" w:space="0" w:color="auto"/>
              <w:bottom w:val="single" w:sz="4" w:space="0" w:color="auto"/>
              <w:right w:val="nil"/>
            </w:tcBorders>
            <w:noWrap/>
            <w:vAlign w:val="bottom"/>
            <w:hideMark/>
          </w:tcPr>
          <w:p w14:paraId="7FE10154"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K-S</w:t>
            </w:r>
          </w:p>
        </w:tc>
        <w:tc>
          <w:tcPr>
            <w:tcW w:w="6500" w:type="dxa"/>
            <w:gridSpan w:val="5"/>
            <w:tcBorders>
              <w:top w:val="single" w:sz="4" w:space="0" w:color="auto"/>
              <w:left w:val="single" w:sz="4" w:space="0" w:color="auto"/>
              <w:bottom w:val="single" w:sz="4" w:space="0" w:color="auto"/>
              <w:right w:val="single" w:sz="8" w:space="0" w:color="000000"/>
            </w:tcBorders>
            <w:noWrap/>
            <w:vAlign w:val="bottom"/>
            <w:hideMark/>
          </w:tcPr>
          <w:p w14:paraId="75FCDE6F" w14:textId="77777777" w:rsidR="00C41405" w:rsidRPr="00D145EF" w:rsidRDefault="00C41405" w:rsidP="002A3A51">
            <w:pPr>
              <w:jc w:val="center"/>
              <w:rPr>
                <w:rFonts w:ascii="Aptos Narrow" w:hAnsi="Aptos Narrow"/>
                <w:color w:val="000000"/>
                <w:sz w:val="22"/>
                <w:szCs w:val="22"/>
              </w:rPr>
            </w:pPr>
            <w:r w:rsidRPr="00D145EF">
              <w:rPr>
                <w:rFonts w:ascii="Aptos Narrow" w:hAnsi="Aptos Narrow"/>
                <w:color w:val="000000"/>
                <w:sz w:val="22"/>
                <w:szCs w:val="22"/>
              </w:rPr>
              <w:t>not enough events</w:t>
            </w:r>
          </w:p>
        </w:tc>
      </w:tr>
      <w:tr w:rsidR="0094282B" w14:paraId="16F24DEA" w14:textId="77777777" w:rsidTr="00AF38D4">
        <w:trPr>
          <w:trHeight w:val="320"/>
        </w:trPr>
        <w:tc>
          <w:tcPr>
            <w:tcW w:w="1300" w:type="dxa"/>
            <w:vMerge w:val="restart"/>
            <w:tcBorders>
              <w:top w:val="single" w:sz="4" w:space="0" w:color="auto"/>
              <w:left w:val="single" w:sz="8" w:space="0" w:color="auto"/>
              <w:bottom w:val="single" w:sz="4" w:space="0" w:color="auto"/>
              <w:right w:val="single" w:sz="4" w:space="0" w:color="auto"/>
            </w:tcBorders>
            <w:noWrap/>
            <w:vAlign w:val="bottom"/>
            <w:hideMark/>
          </w:tcPr>
          <w:p w14:paraId="518C2757" w14:textId="77777777" w:rsidR="00C41405" w:rsidRPr="00D145EF" w:rsidRDefault="00C41405" w:rsidP="002A3A51">
            <w:pPr>
              <w:jc w:val="center"/>
              <w:rPr>
                <w:rFonts w:ascii="Aptos Narrow" w:hAnsi="Aptos Narrow"/>
                <w:b/>
                <w:color w:val="000000"/>
                <w:sz w:val="22"/>
                <w:szCs w:val="22"/>
              </w:rPr>
            </w:pPr>
            <w:r w:rsidRPr="00D145EF">
              <w:rPr>
                <w:rFonts w:ascii="Aptos Narrow" w:hAnsi="Aptos Narrow"/>
                <w:b/>
                <w:color w:val="000000"/>
                <w:sz w:val="22"/>
                <w:szCs w:val="22"/>
              </w:rPr>
              <w:t>Stage 2</w:t>
            </w:r>
          </w:p>
        </w:tc>
        <w:tc>
          <w:tcPr>
            <w:tcW w:w="1300" w:type="dxa"/>
            <w:tcBorders>
              <w:top w:val="single" w:sz="4" w:space="0" w:color="auto"/>
              <w:left w:val="single" w:sz="4" w:space="0" w:color="auto"/>
              <w:bottom w:val="single" w:sz="4" w:space="0" w:color="auto"/>
              <w:right w:val="nil"/>
            </w:tcBorders>
            <w:noWrap/>
            <w:vAlign w:val="bottom"/>
            <w:hideMark/>
          </w:tcPr>
          <w:p w14:paraId="08CE0E60"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MAXC +0.2</w:t>
            </w:r>
          </w:p>
        </w:tc>
        <w:tc>
          <w:tcPr>
            <w:tcW w:w="1300" w:type="dxa"/>
            <w:tcBorders>
              <w:top w:val="nil"/>
              <w:left w:val="single" w:sz="4" w:space="0" w:color="auto"/>
              <w:bottom w:val="single" w:sz="4" w:space="0" w:color="auto"/>
              <w:right w:val="single" w:sz="4" w:space="0" w:color="auto"/>
            </w:tcBorders>
            <w:noWrap/>
            <w:vAlign w:val="bottom"/>
            <w:hideMark/>
          </w:tcPr>
          <w:p w14:paraId="640A28AD"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-1.29</w:t>
            </w:r>
          </w:p>
        </w:tc>
        <w:tc>
          <w:tcPr>
            <w:tcW w:w="1300" w:type="dxa"/>
            <w:tcBorders>
              <w:top w:val="nil"/>
              <w:left w:val="nil"/>
              <w:bottom w:val="single" w:sz="4" w:space="0" w:color="auto"/>
              <w:right w:val="single" w:sz="4" w:space="0" w:color="auto"/>
            </w:tcBorders>
            <w:noWrap/>
            <w:vAlign w:val="bottom"/>
            <w:hideMark/>
          </w:tcPr>
          <w:p w14:paraId="74C770B4"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1.36</w:t>
            </w:r>
          </w:p>
        </w:tc>
        <w:tc>
          <w:tcPr>
            <w:tcW w:w="1300" w:type="dxa"/>
            <w:tcBorders>
              <w:top w:val="nil"/>
              <w:left w:val="nil"/>
              <w:bottom w:val="single" w:sz="4" w:space="0" w:color="auto"/>
              <w:right w:val="single" w:sz="4" w:space="0" w:color="auto"/>
            </w:tcBorders>
            <w:noWrap/>
            <w:vAlign w:val="bottom"/>
            <w:hideMark/>
          </w:tcPr>
          <w:p w14:paraId="223B8CE6"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0.04</w:t>
            </w:r>
          </w:p>
        </w:tc>
        <w:tc>
          <w:tcPr>
            <w:tcW w:w="1300" w:type="dxa"/>
            <w:tcBorders>
              <w:top w:val="nil"/>
              <w:left w:val="nil"/>
              <w:bottom w:val="single" w:sz="4" w:space="0" w:color="auto"/>
              <w:right w:val="single" w:sz="4" w:space="0" w:color="auto"/>
            </w:tcBorders>
            <w:noWrap/>
            <w:vAlign w:val="bottom"/>
            <w:hideMark/>
          </w:tcPr>
          <w:p w14:paraId="61990F6C"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1.91</w:t>
            </w:r>
          </w:p>
        </w:tc>
        <w:tc>
          <w:tcPr>
            <w:tcW w:w="1300" w:type="dxa"/>
            <w:tcBorders>
              <w:top w:val="nil"/>
              <w:left w:val="nil"/>
              <w:bottom w:val="single" w:sz="4" w:space="0" w:color="auto"/>
              <w:right w:val="single" w:sz="8" w:space="0" w:color="auto"/>
            </w:tcBorders>
            <w:noWrap/>
            <w:vAlign w:val="bottom"/>
            <w:hideMark/>
          </w:tcPr>
          <w:p w14:paraId="47F18118"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0.07</w:t>
            </w:r>
          </w:p>
        </w:tc>
      </w:tr>
      <w:tr w:rsidR="002A7F19" w14:paraId="314AB5CF" w14:textId="77777777" w:rsidTr="00AF38D4">
        <w:trPr>
          <w:trHeight w:val="320"/>
        </w:trPr>
        <w:tc>
          <w:tcPr>
            <w:tcW w:w="1300" w:type="dxa"/>
            <w:vMerge/>
            <w:tcBorders>
              <w:top w:val="nil"/>
              <w:left w:val="single" w:sz="8" w:space="0" w:color="auto"/>
              <w:bottom w:val="single" w:sz="4" w:space="0" w:color="auto"/>
              <w:right w:val="single" w:sz="4" w:space="0" w:color="auto"/>
            </w:tcBorders>
            <w:vAlign w:val="center"/>
            <w:hideMark/>
          </w:tcPr>
          <w:p w14:paraId="68A3B577" w14:textId="77777777" w:rsidR="00C41405" w:rsidRPr="00D145EF" w:rsidRDefault="00C41405" w:rsidP="002A3A51">
            <w:pPr>
              <w:rPr>
                <w:rFonts w:ascii="Aptos Narrow" w:hAnsi="Aptos Narrow"/>
                <w:b/>
                <w:color w:val="000000"/>
                <w:sz w:val="22"/>
                <w:szCs w:val="22"/>
              </w:rPr>
            </w:pPr>
          </w:p>
        </w:tc>
        <w:tc>
          <w:tcPr>
            <w:tcW w:w="1300" w:type="dxa"/>
            <w:tcBorders>
              <w:top w:val="single" w:sz="4" w:space="0" w:color="auto"/>
              <w:left w:val="single" w:sz="4" w:space="0" w:color="auto"/>
              <w:bottom w:val="single" w:sz="4" w:space="0" w:color="auto"/>
              <w:right w:val="nil"/>
            </w:tcBorders>
            <w:noWrap/>
            <w:vAlign w:val="bottom"/>
            <w:hideMark/>
          </w:tcPr>
          <w:p w14:paraId="6B757D8E"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K-S</w:t>
            </w:r>
          </w:p>
        </w:tc>
        <w:tc>
          <w:tcPr>
            <w:tcW w:w="1300" w:type="dxa"/>
            <w:tcBorders>
              <w:top w:val="nil"/>
              <w:left w:val="single" w:sz="4" w:space="0" w:color="auto"/>
              <w:bottom w:val="single" w:sz="4" w:space="0" w:color="auto"/>
              <w:right w:val="single" w:sz="4" w:space="0" w:color="auto"/>
            </w:tcBorders>
            <w:noWrap/>
            <w:vAlign w:val="bottom"/>
            <w:hideMark/>
          </w:tcPr>
          <w:p w14:paraId="155E9CEF"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-0.92</w:t>
            </w:r>
          </w:p>
        </w:tc>
        <w:tc>
          <w:tcPr>
            <w:tcW w:w="1300" w:type="dxa"/>
            <w:tcBorders>
              <w:top w:val="nil"/>
              <w:left w:val="nil"/>
              <w:bottom w:val="single" w:sz="4" w:space="0" w:color="auto"/>
              <w:right w:val="single" w:sz="4" w:space="0" w:color="auto"/>
            </w:tcBorders>
            <w:noWrap/>
            <w:vAlign w:val="bottom"/>
            <w:hideMark/>
          </w:tcPr>
          <w:p w14:paraId="69B74953"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2.4</w:t>
            </w:r>
          </w:p>
        </w:tc>
        <w:tc>
          <w:tcPr>
            <w:tcW w:w="1300" w:type="dxa"/>
            <w:tcBorders>
              <w:top w:val="nil"/>
              <w:left w:val="nil"/>
              <w:bottom w:val="single" w:sz="4" w:space="0" w:color="auto"/>
              <w:right w:val="single" w:sz="4" w:space="0" w:color="auto"/>
            </w:tcBorders>
            <w:noWrap/>
            <w:vAlign w:val="bottom"/>
            <w:hideMark/>
          </w:tcPr>
          <w:p w14:paraId="3784E073"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0.12</w:t>
            </w:r>
          </w:p>
        </w:tc>
        <w:tc>
          <w:tcPr>
            <w:tcW w:w="1300" w:type="dxa"/>
            <w:tcBorders>
              <w:top w:val="nil"/>
              <w:left w:val="nil"/>
              <w:bottom w:val="single" w:sz="4" w:space="0" w:color="auto"/>
              <w:right w:val="single" w:sz="4" w:space="0" w:color="auto"/>
            </w:tcBorders>
            <w:noWrap/>
            <w:vAlign w:val="bottom"/>
            <w:hideMark/>
          </w:tcPr>
          <w:p w14:paraId="7FA379CF"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2.83</w:t>
            </w:r>
          </w:p>
        </w:tc>
        <w:tc>
          <w:tcPr>
            <w:tcW w:w="1300" w:type="dxa"/>
            <w:tcBorders>
              <w:top w:val="nil"/>
              <w:left w:val="nil"/>
              <w:bottom w:val="single" w:sz="4" w:space="0" w:color="auto"/>
              <w:right w:val="single" w:sz="8" w:space="0" w:color="auto"/>
            </w:tcBorders>
            <w:noWrap/>
            <w:vAlign w:val="bottom"/>
            <w:hideMark/>
          </w:tcPr>
          <w:p w14:paraId="3D84F8D4"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0.17</w:t>
            </w:r>
          </w:p>
        </w:tc>
      </w:tr>
      <w:tr w:rsidR="0094282B" w14:paraId="3DAB4B43" w14:textId="77777777" w:rsidTr="00AF38D4">
        <w:trPr>
          <w:trHeight w:val="320"/>
        </w:trPr>
        <w:tc>
          <w:tcPr>
            <w:tcW w:w="1300" w:type="dxa"/>
            <w:vMerge w:val="restart"/>
            <w:tcBorders>
              <w:top w:val="single" w:sz="4" w:space="0" w:color="auto"/>
              <w:left w:val="single" w:sz="8" w:space="0" w:color="auto"/>
              <w:bottom w:val="single" w:sz="8" w:space="0" w:color="000000"/>
              <w:right w:val="single" w:sz="4" w:space="0" w:color="auto"/>
            </w:tcBorders>
            <w:noWrap/>
            <w:vAlign w:val="bottom"/>
            <w:hideMark/>
          </w:tcPr>
          <w:p w14:paraId="1A2D830B" w14:textId="77777777" w:rsidR="00C41405" w:rsidRPr="00D145EF" w:rsidRDefault="00C41405" w:rsidP="002A3A51">
            <w:pPr>
              <w:jc w:val="center"/>
              <w:rPr>
                <w:rFonts w:ascii="Aptos Narrow" w:hAnsi="Aptos Narrow"/>
                <w:b/>
                <w:color w:val="000000"/>
                <w:sz w:val="22"/>
                <w:szCs w:val="22"/>
              </w:rPr>
            </w:pPr>
            <w:r w:rsidRPr="00D145EF">
              <w:rPr>
                <w:rFonts w:ascii="Aptos Narrow" w:hAnsi="Aptos Narrow"/>
                <w:b/>
                <w:color w:val="000000"/>
                <w:sz w:val="22"/>
                <w:szCs w:val="22"/>
              </w:rPr>
              <w:t>Stage 3</w:t>
            </w:r>
          </w:p>
        </w:tc>
        <w:tc>
          <w:tcPr>
            <w:tcW w:w="1300" w:type="dxa"/>
            <w:tcBorders>
              <w:top w:val="single" w:sz="4" w:space="0" w:color="auto"/>
              <w:left w:val="single" w:sz="4" w:space="0" w:color="auto"/>
              <w:bottom w:val="single" w:sz="4" w:space="0" w:color="auto"/>
              <w:right w:val="nil"/>
            </w:tcBorders>
            <w:noWrap/>
            <w:vAlign w:val="bottom"/>
            <w:hideMark/>
          </w:tcPr>
          <w:p w14:paraId="5F09035A"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MAXC +0.2</w:t>
            </w:r>
          </w:p>
        </w:tc>
        <w:tc>
          <w:tcPr>
            <w:tcW w:w="1300" w:type="dxa"/>
            <w:tcBorders>
              <w:top w:val="nil"/>
              <w:left w:val="single" w:sz="4" w:space="0" w:color="auto"/>
              <w:bottom w:val="single" w:sz="4" w:space="0" w:color="auto"/>
              <w:right w:val="single" w:sz="4" w:space="0" w:color="auto"/>
            </w:tcBorders>
            <w:noWrap/>
            <w:vAlign w:val="bottom"/>
            <w:hideMark/>
          </w:tcPr>
          <w:p w14:paraId="77D28309"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-1.19</w:t>
            </w:r>
          </w:p>
        </w:tc>
        <w:tc>
          <w:tcPr>
            <w:tcW w:w="1300" w:type="dxa"/>
            <w:tcBorders>
              <w:top w:val="nil"/>
              <w:left w:val="nil"/>
              <w:bottom w:val="single" w:sz="4" w:space="0" w:color="auto"/>
              <w:right w:val="single" w:sz="4" w:space="0" w:color="auto"/>
            </w:tcBorders>
            <w:noWrap/>
            <w:vAlign w:val="bottom"/>
            <w:hideMark/>
          </w:tcPr>
          <w:p w14:paraId="61F9ED53"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1.14</w:t>
            </w:r>
          </w:p>
        </w:tc>
        <w:tc>
          <w:tcPr>
            <w:tcW w:w="1300" w:type="dxa"/>
            <w:tcBorders>
              <w:top w:val="nil"/>
              <w:left w:val="nil"/>
              <w:bottom w:val="single" w:sz="4" w:space="0" w:color="auto"/>
              <w:right w:val="single" w:sz="4" w:space="0" w:color="auto"/>
            </w:tcBorders>
            <w:noWrap/>
            <w:vAlign w:val="bottom"/>
            <w:hideMark/>
          </w:tcPr>
          <w:p w14:paraId="4C126923"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0.02</w:t>
            </w:r>
          </w:p>
        </w:tc>
        <w:tc>
          <w:tcPr>
            <w:tcW w:w="1300" w:type="dxa"/>
            <w:tcBorders>
              <w:top w:val="nil"/>
              <w:left w:val="nil"/>
              <w:bottom w:val="single" w:sz="4" w:space="0" w:color="auto"/>
              <w:right w:val="single" w:sz="4" w:space="0" w:color="auto"/>
            </w:tcBorders>
            <w:noWrap/>
            <w:vAlign w:val="bottom"/>
            <w:hideMark/>
          </w:tcPr>
          <w:p w14:paraId="79583156"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1.37</w:t>
            </w:r>
          </w:p>
        </w:tc>
        <w:tc>
          <w:tcPr>
            <w:tcW w:w="1300" w:type="dxa"/>
            <w:tcBorders>
              <w:top w:val="nil"/>
              <w:left w:val="nil"/>
              <w:bottom w:val="single" w:sz="4" w:space="0" w:color="auto"/>
              <w:right w:val="single" w:sz="8" w:space="0" w:color="auto"/>
            </w:tcBorders>
            <w:noWrap/>
            <w:vAlign w:val="bottom"/>
            <w:hideMark/>
          </w:tcPr>
          <w:p w14:paraId="4769B756"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0.03</w:t>
            </w:r>
          </w:p>
        </w:tc>
      </w:tr>
      <w:tr w:rsidR="00CB59B3" w14:paraId="61136935" w14:textId="77777777" w:rsidTr="00CF60FA">
        <w:trPr>
          <w:trHeight w:val="340"/>
        </w:trPr>
        <w:tc>
          <w:tcPr>
            <w:tcW w:w="1300" w:type="dxa"/>
            <w:vMerge/>
            <w:tcBorders>
              <w:top w:val="nil"/>
              <w:left w:val="single" w:sz="8" w:space="0" w:color="auto"/>
              <w:bottom w:val="single" w:sz="8" w:space="0" w:color="000000"/>
              <w:right w:val="single" w:sz="4" w:space="0" w:color="auto"/>
            </w:tcBorders>
            <w:vAlign w:val="center"/>
            <w:hideMark/>
          </w:tcPr>
          <w:p w14:paraId="6F732E31" w14:textId="77777777" w:rsidR="00C41405" w:rsidRPr="00D145EF" w:rsidRDefault="00C41405" w:rsidP="002A3A51">
            <w:pPr>
              <w:rPr>
                <w:rFonts w:ascii="Aptos Narrow" w:hAnsi="Aptos Narrow"/>
                <w:b/>
                <w:color w:val="000000"/>
                <w:sz w:val="22"/>
                <w:szCs w:val="22"/>
              </w:rPr>
            </w:pPr>
          </w:p>
        </w:tc>
        <w:tc>
          <w:tcPr>
            <w:tcW w:w="1300" w:type="dxa"/>
            <w:tcBorders>
              <w:top w:val="single" w:sz="4" w:space="0" w:color="auto"/>
              <w:left w:val="single" w:sz="4" w:space="0" w:color="auto"/>
              <w:bottom w:val="single" w:sz="4" w:space="0" w:color="auto"/>
              <w:right w:val="nil"/>
            </w:tcBorders>
            <w:noWrap/>
            <w:vAlign w:val="bottom"/>
            <w:hideMark/>
          </w:tcPr>
          <w:p w14:paraId="30BFFA60" w14:textId="77777777" w:rsidR="00C41405" w:rsidRPr="00D145EF" w:rsidRDefault="00C41405" w:rsidP="002A3A51">
            <w:pPr>
              <w:rPr>
                <w:rFonts w:ascii="Aptos Narrow" w:hAnsi="Aptos Narrow"/>
                <w:color w:val="000000"/>
                <w:sz w:val="22"/>
                <w:szCs w:val="22"/>
              </w:rPr>
            </w:pPr>
            <w:r w:rsidRPr="00D145EF">
              <w:rPr>
                <w:rFonts w:ascii="Aptos Narrow" w:hAnsi="Aptos Narrow"/>
                <w:color w:val="000000"/>
                <w:sz w:val="22"/>
                <w:szCs w:val="22"/>
              </w:rPr>
              <w:t>K-S</w:t>
            </w:r>
          </w:p>
        </w:tc>
        <w:tc>
          <w:tcPr>
            <w:tcW w:w="1300" w:type="dxa"/>
            <w:tcBorders>
              <w:top w:val="nil"/>
              <w:left w:val="single" w:sz="4" w:space="0" w:color="auto"/>
              <w:bottom w:val="single" w:sz="8" w:space="0" w:color="auto"/>
              <w:right w:val="single" w:sz="4" w:space="0" w:color="auto"/>
            </w:tcBorders>
            <w:noWrap/>
            <w:vAlign w:val="bottom"/>
            <w:hideMark/>
          </w:tcPr>
          <w:p w14:paraId="4FF4EFFE"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-0.82</w:t>
            </w:r>
          </w:p>
        </w:tc>
        <w:tc>
          <w:tcPr>
            <w:tcW w:w="1300" w:type="dxa"/>
            <w:tcBorders>
              <w:top w:val="nil"/>
              <w:left w:val="nil"/>
              <w:bottom w:val="single" w:sz="8" w:space="0" w:color="auto"/>
              <w:right w:val="single" w:sz="4" w:space="0" w:color="auto"/>
            </w:tcBorders>
            <w:noWrap/>
            <w:vAlign w:val="bottom"/>
            <w:hideMark/>
          </w:tcPr>
          <w:p w14:paraId="02A7C92E"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1.45</w:t>
            </w:r>
          </w:p>
        </w:tc>
        <w:tc>
          <w:tcPr>
            <w:tcW w:w="1300" w:type="dxa"/>
            <w:tcBorders>
              <w:top w:val="nil"/>
              <w:left w:val="nil"/>
              <w:bottom w:val="single" w:sz="8" w:space="0" w:color="auto"/>
              <w:right w:val="single" w:sz="4" w:space="0" w:color="auto"/>
            </w:tcBorders>
            <w:noWrap/>
            <w:vAlign w:val="bottom"/>
            <w:hideMark/>
          </w:tcPr>
          <w:p w14:paraId="79DD9E62"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0.04</w:t>
            </w:r>
          </w:p>
        </w:tc>
        <w:tc>
          <w:tcPr>
            <w:tcW w:w="1300" w:type="dxa"/>
            <w:tcBorders>
              <w:top w:val="nil"/>
              <w:left w:val="nil"/>
              <w:bottom w:val="single" w:sz="8" w:space="0" w:color="auto"/>
              <w:right w:val="single" w:sz="4" w:space="0" w:color="auto"/>
            </w:tcBorders>
            <w:noWrap/>
            <w:vAlign w:val="bottom"/>
            <w:hideMark/>
          </w:tcPr>
          <w:p w14:paraId="46120A0B"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1.6</w:t>
            </w:r>
          </w:p>
        </w:tc>
        <w:tc>
          <w:tcPr>
            <w:tcW w:w="1300" w:type="dxa"/>
            <w:tcBorders>
              <w:top w:val="nil"/>
              <w:left w:val="nil"/>
              <w:bottom w:val="single" w:sz="8" w:space="0" w:color="auto"/>
              <w:right w:val="single" w:sz="8" w:space="0" w:color="auto"/>
            </w:tcBorders>
            <w:noWrap/>
            <w:vAlign w:val="bottom"/>
            <w:hideMark/>
          </w:tcPr>
          <w:p w14:paraId="3D181CBE" w14:textId="77777777" w:rsidR="00C41405" w:rsidRPr="00D145EF" w:rsidRDefault="00C41405" w:rsidP="002A3A51">
            <w:pPr>
              <w:jc w:val="right"/>
              <w:rPr>
                <w:rFonts w:ascii="Aptos Narrow" w:hAnsi="Aptos Narrow"/>
                <w:color w:val="000000"/>
                <w:sz w:val="22"/>
                <w:szCs w:val="22"/>
              </w:rPr>
            </w:pPr>
            <w:r w:rsidRPr="00D145EF">
              <w:rPr>
                <w:rFonts w:ascii="Aptos Narrow" w:hAnsi="Aptos Narrow"/>
                <w:color w:val="000000"/>
                <w:sz w:val="22"/>
                <w:szCs w:val="22"/>
              </w:rPr>
              <w:t>0.05</w:t>
            </w:r>
          </w:p>
        </w:tc>
      </w:tr>
    </w:tbl>
    <w:p w14:paraId="26C9ADBB" w14:textId="77777777" w:rsidR="00C41405" w:rsidRDefault="00C41405" w:rsidP="00907257">
      <w:pPr>
        <w:jc w:val="both"/>
        <w:rPr>
          <w:i/>
          <w:iCs/>
          <w:color w:val="0070C0"/>
        </w:rPr>
      </w:pPr>
    </w:p>
    <w:p w14:paraId="1FE59F42" w14:textId="2996A7A0" w:rsidR="00526C61" w:rsidRDefault="00436858" w:rsidP="00526C61">
      <w:pPr>
        <w:jc w:val="both"/>
        <w:rPr>
          <w:i/>
          <w:iCs/>
          <w:color w:val="0070C0"/>
          <w:lang w:val="en-GB"/>
        </w:rPr>
      </w:pPr>
      <w:r>
        <w:rPr>
          <w:i/>
          <w:iCs/>
          <w:color w:val="0070C0"/>
          <w:lang w:val="en-GB"/>
        </w:rPr>
        <w:lastRenderedPageBreak/>
        <w:t xml:space="preserve">Finally, </w:t>
      </w:r>
      <w:r w:rsidR="008E3EF9">
        <w:rPr>
          <w:i/>
          <w:iCs/>
          <w:color w:val="0070C0"/>
          <w:lang w:val="en-GB"/>
        </w:rPr>
        <w:t>regarding</w:t>
      </w:r>
      <w:r w:rsidR="00526C61">
        <w:rPr>
          <w:i/>
          <w:iCs/>
          <w:color w:val="0070C0"/>
          <w:lang w:val="en-GB"/>
        </w:rPr>
        <w:t xml:space="preserve"> </w:t>
      </w:r>
      <w:r w:rsidR="00471C47" w:rsidRPr="5BB6DCE0">
        <w:rPr>
          <w:i/>
          <w:iCs/>
          <w:color w:val="0070C0"/>
          <w:lang w:val="en-GB"/>
        </w:rPr>
        <w:t>the temporal variability</w:t>
      </w:r>
      <w:r w:rsidR="00B82D13" w:rsidRPr="5BB6DCE0">
        <w:rPr>
          <w:i/>
          <w:iCs/>
          <w:color w:val="0070C0"/>
          <w:lang w:val="en-GB"/>
        </w:rPr>
        <w:t xml:space="preserve"> of Mc, </w:t>
      </w:r>
      <w:r w:rsidR="008E3EF9">
        <w:rPr>
          <w:i/>
          <w:iCs/>
          <w:color w:val="0070C0"/>
          <w:lang w:val="en-GB"/>
        </w:rPr>
        <w:t>we refer to</w:t>
      </w:r>
      <w:r w:rsidR="00B82D13" w:rsidRPr="5BB6DCE0">
        <w:rPr>
          <w:i/>
          <w:iCs/>
          <w:color w:val="0070C0"/>
          <w:lang w:val="en-GB"/>
        </w:rPr>
        <w:t xml:space="preserve"> answer to Reviewer #1 point 2</w:t>
      </w:r>
      <w:r w:rsidR="00583E5C">
        <w:rPr>
          <w:i/>
          <w:iCs/>
          <w:color w:val="0070C0"/>
          <w:lang w:val="en-GB"/>
        </w:rPr>
        <w:t>-c</w:t>
      </w:r>
      <w:r w:rsidR="00B82D13" w:rsidRPr="5BB6DCE0">
        <w:rPr>
          <w:i/>
          <w:iCs/>
          <w:color w:val="0070C0"/>
          <w:lang w:val="en-GB"/>
        </w:rPr>
        <w:t xml:space="preserve"> and </w:t>
      </w:r>
      <w:r w:rsidR="008E3EF9">
        <w:rPr>
          <w:i/>
          <w:iCs/>
          <w:color w:val="0070C0"/>
          <w:lang w:val="en-GB"/>
        </w:rPr>
        <w:t>the new supplementary Figure</w:t>
      </w:r>
      <w:r w:rsidR="00B82D13" w:rsidRPr="5BB6DCE0">
        <w:rPr>
          <w:i/>
          <w:iCs/>
          <w:color w:val="0070C0"/>
          <w:lang w:val="en-GB"/>
        </w:rPr>
        <w:t xml:space="preserve"> S</w:t>
      </w:r>
      <w:r w:rsidR="008E3EF9">
        <w:rPr>
          <w:i/>
          <w:iCs/>
          <w:color w:val="0070C0"/>
          <w:lang w:val="en-GB"/>
        </w:rPr>
        <w:t>4</w:t>
      </w:r>
      <w:r w:rsidR="00B82D13" w:rsidRPr="5BB6DCE0">
        <w:rPr>
          <w:i/>
          <w:iCs/>
          <w:color w:val="0070C0"/>
          <w:lang w:val="en-GB"/>
        </w:rPr>
        <w:t>. In short, no</w:t>
      </w:r>
      <w:r w:rsidR="00F227C1" w:rsidRPr="5BB6DCE0">
        <w:rPr>
          <w:i/>
          <w:iCs/>
          <w:color w:val="0070C0"/>
          <w:lang w:val="en-GB"/>
        </w:rPr>
        <w:t xml:space="preserve"> significant changes </w:t>
      </w:r>
      <w:r w:rsidR="00B82D13" w:rsidRPr="5BB6DCE0">
        <w:rPr>
          <w:i/>
          <w:iCs/>
          <w:color w:val="0070C0"/>
          <w:lang w:val="en-GB"/>
        </w:rPr>
        <w:t xml:space="preserve">are observed </w:t>
      </w:r>
      <w:r w:rsidR="00F227C1" w:rsidRPr="5BB6DCE0">
        <w:rPr>
          <w:i/>
          <w:iCs/>
          <w:color w:val="0070C0"/>
          <w:lang w:val="en-GB"/>
        </w:rPr>
        <w:t xml:space="preserve">in the temporal evolution of b-value when using a fixed vs. variable Mc. </w:t>
      </w:r>
    </w:p>
    <w:p w14:paraId="2225E597" w14:textId="570B7C8C" w:rsidR="00B16F41" w:rsidRPr="000A522D" w:rsidRDefault="00F227C1" w:rsidP="5BB6DCE0">
      <w:pPr>
        <w:jc w:val="both"/>
        <w:rPr>
          <w:i/>
          <w:iCs/>
          <w:lang w:val="en-GB"/>
        </w:rPr>
      </w:pPr>
      <w:r w:rsidRPr="5BB6DCE0">
        <w:rPr>
          <w:i/>
          <w:iCs/>
          <w:color w:val="0070C0"/>
          <w:lang w:val="en-GB"/>
        </w:rPr>
        <w:t xml:space="preserve"> </w:t>
      </w:r>
      <w:r w:rsidR="00471C47" w:rsidRPr="5BB6DCE0">
        <w:rPr>
          <w:i/>
          <w:iCs/>
          <w:lang w:val="en-GB"/>
        </w:rPr>
        <w:br w:type="page"/>
      </w:r>
    </w:p>
    <w:p w14:paraId="65725ABB" w14:textId="1271A8BA" w:rsidR="00BB1A0B" w:rsidRDefault="00BB1A0B" w:rsidP="00907257">
      <w:pPr>
        <w:jc w:val="both"/>
        <w:rPr>
          <w:color w:val="000000"/>
          <w:u w:val="single"/>
        </w:rPr>
      </w:pPr>
      <w:r w:rsidRPr="00BB1A0B">
        <w:rPr>
          <w:color w:val="000000"/>
          <w:u w:val="single"/>
        </w:rPr>
        <w:lastRenderedPageBreak/>
        <w:t>REVIEWER #1</w:t>
      </w:r>
    </w:p>
    <w:p w14:paraId="4A8C8D59" w14:textId="77777777" w:rsidR="00907257" w:rsidRPr="00BB1A0B" w:rsidRDefault="00907257" w:rsidP="00907257">
      <w:pPr>
        <w:jc w:val="both"/>
        <w:rPr>
          <w:color w:val="000000"/>
        </w:rPr>
      </w:pPr>
    </w:p>
    <w:p w14:paraId="6F0FA9BF" w14:textId="77777777" w:rsidR="00BB1A0B" w:rsidRPr="00853056" w:rsidRDefault="00BB1A0B" w:rsidP="00907257">
      <w:pPr>
        <w:jc w:val="both"/>
        <w:rPr>
          <w:color w:val="000000"/>
          <w:u w:val="single"/>
        </w:rPr>
      </w:pPr>
      <w:r w:rsidRPr="00853056">
        <w:rPr>
          <w:color w:val="000000"/>
          <w:u w:val="single"/>
        </w:rPr>
        <w:t>Point 1: Suggested revisions to the overall structure</w:t>
      </w:r>
    </w:p>
    <w:p w14:paraId="46F00138" w14:textId="77777777" w:rsidR="00BB1A0B" w:rsidRPr="00D01BBA" w:rsidRDefault="00BB1A0B" w:rsidP="00907257">
      <w:pPr>
        <w:jc w:val="both"/>
        <w:rPr>
          <w:color w:val="000000"/>
        </w:rPr>
      </w:pPr>
      <w:r w:rsidRPr="00BB1A0B">
        <w:rPr>
          <w:color w:val="000000"/>
        </w:rPr>
        <w:t>In the Introduction, I suggest separating Section 1.1 Utah FORGE into a standalone second section. In addition, the detailed description of hydraulic stimulation parameters could be significantly shortened and moved to Supplementary Information.</w:t>
      </w:r>
    </w:p>
    <w:p w14:paraId="7135466A" w14:textId="5E493B8D" w:rsidR="00BB1A0B" w:rsidRPr="008C71C9" w:rsidRDefault="00DE1720" w:rsidP="00907257">
      <w:pPr>
        <w:jc w:val="both"/>
        <w:rPr>
          <w:i/>
          <w:iCs/>
          <w:color w:val="0070C0"/>
        </w:rPr>
      </w:pPr>
      <w:r>
        <w:rPr>
          <w:i/>
          <w:iCs/>
          <w:color w:val="0070C0"/>
        </w:rPr>
        <w:t xml:space="preserve">We agree with the reviewer, </w:t>
      </w:r>
      <w:r w:rsidR="00C076A7">
        <w:rPr>
          <w:i/>
          <w:iCs/>
          <w:color w:val="0070C0"/>
        </w:rPr>
        <w:t xml:space="preserve">and </w:t>
      </w:r>
      <w:r>
        <w:rPr>
          <w:i/>
          <w:iCs/>
          <w:color w:val="0070C0"/>
        </w:rPr>
        <w:t xml:space="preserve">we have now </w:t>
      </w:r>
      <w:r w:rsidR="00FD64CF">
        <w:rPr>
          <w:i/>
          <w:iCs/>
          <w:color w:val="0070C0"/>
        </w:rPr>
        <w:t>renamed “</w:t>
      </w:r>
      <w:r>
        <w:rPr>
          <w:i/>
          <w:iCs/>
          <w:color w:val="0070C0"/>
        </w:rPr>
        <w:t xml:space="preserve">Section 1.1 </w:t>
      </w:r>
      <w:r w:rsidR="00FD64CF">
        <w:rPr>
          <w:i/>
          <w:iCs/>
          <w:color w:val="0070C0"/>
        </w:rPr>
        <w:t xml:space="preserve">Utah Forge” to “Section 2 Utah Forge”. </w:t>
      </w:r>
      <w:r w:rsidR="00174A6D">
        <w:rPr>
          <w:i/>
          <w:iCs/>
          <w:color w:val="0070C0"/>
        </w:rPr>
        <w:t xml:space="preserve">Additionally, the description of the operational </w:t>
      </w:r>
      <w:r w:rsidR="00A06D8F">
        <w:rPr>
          <w:i/>
          <w:iCs/>
          <w:color w:val="0070C0"/>
        </w:rPr>
        <w:t>details of the injectio</w:t>
      </w:r>
      <w:r w:rsidR="00C076A7">
        <w:rPr>
          <w:i/>
          <w:iCs/>
          <w:color w:val="0070C0"/>
        </w:rPr>
        <w:t>n</w:t>
      </w:r>
      <w:r w:rsidR="00A06D8F">
        <w:rPr>
          <w:i/>
          <w:iCs/>
          <w:color w:val="0070C0"/>
        </w:rPr>
        <w:t xml:space="preserve"> has now been moved to the SI under the </w:t>
      </w:r>
      <w:r w:rsidR="00A67D2A">
        <w:rPr>
          <w:i/>
          <w:iCs/>
          <w:color w:val="0070C0"/>
        </w:rPr>
        <w:t xml:space="preserve">text: </w:t>
      </w:r>
      <w:r w:rsidR="008C71C9">
        <w:rPr>
          <w:i/>
          <w:iCs/>
          <w:color w:val="0070C0"/>
        </w:rPr>
        <w:t>“</w:t>
      </w:r>
      <w:r w:rsidR="00A06D8F" w:rsidRPr="008C71C9">
        <w:rPr>
          <w:i/>
          <w:iCs/>
          <w:color w:val="0070C0"/>
        </w:rPr>
        <w:t>Text S1:</w:t>
      </w:r>
      <w:r w:rsidR="008C71C9" w:rsidRPr="008C71C9">
        <w:rPr>
          <w:rFonts w:eastAsia="Source Sans Pro"/>
          <w:i/>
          <w:iCs/>
          <w:color w:val="0070C0"/>
        </w:rPr>
        <w:t xml:space="preserve"> Expanded details on the Utah FORGE 2022 stimulation”</w:t>
      </w:r>
      <w:r w:rsidR="008C71C9">
        <w:rPr>
          <w:i/>
          <w:iCs/>
          <w:color w:val="0070C0"/>
        </w:rPr>
        <w:t>.</w:t>
      </w:r>
    </w:p>
    <w:p w14:paraId="75DD6DD6" w14:textId="77777777" w:rsidR="00907257" w:rsidRPr="00BB1A0B" w:rsidRDefault="00907257" w:rsidP="00907257">
      <w:pPr>
        <w:jc w:val="both"/>
        <w:rPr>
          <w:i/>
          <w:iCs/>
          <w:color w:val="000000"/>
        </w:rPr>
      </w:pPr>
    </w:p>
    <w:p w14:paraId="006B8C5A" w14:textId="77777777" w:rsidR="00BB1A0B" w:rsidRPr="00D01BBA" w:rsidRDefault="00BB1A0B" w:rsidP="00907257">
      <w:pPr>
        <w:jc w:val="both"/>
        <w:rPr>
          <w:color w:val="000000"/>
        </w:rPr>
      </w:pPr>
      <w:r w:rsidRPr="00BB1A0B">
        <w:rPr>
          <w:color w:val="000000"/>
        </w:rPr>
        <w:t>Sections 2.1 and 2.2, which describe the calculation of the magnitude of completeness (Mc) and the b-value, could be merged into a single section. Both parameters are computed using the same package, and estimation of the b-value inherently depends on first determining Mc.</w:t>
      </w:r>
    </w:p>
    <w:p w14:paraId="3007840A" w14:textId="75F1D958" w:rsidR="00BB1A0B" w:rsidRDefault="00A97617" w:rsidP="00907257">
      <w:pPr>
        <w:jc w:val="both"/>
        <w:rPr>
          <w:i/>
          <w:iCs/>
          <w:color w:val="0070C0"/>
        </w:rPr>
      </w:pPr>
      <w:r>
        <w:rPr>
          <w:i/>
          <w:iCs/>
          <w:color w:val="0070C0"/>
        </w:rPr>
        <w:t>We have merged the two sections into one (now Section 3.1</w:t>
      </w:r>
      <w:r w:rsidR="00047D54">
        <w:rPr>
          <w:i/>
          <w:iCs/>
          <w:color w:val="0070C0"/>
        </w:rPr>
        <w:t>). We have also improved this section with further explanation</w:t>
      </w:r>
      <w:r w:rsidR="00853056">
        <w:rPr>
          <w:i/>
          <w:iCs/>
          <w:color w:val="0070C0"/>
        </w:rPr>
        <w:t>s</w:t>
      </w:r>
      <w:r w:rsidR="00047D54">
        <w:rPr>
          <w:i/>
          <w:iCs/>
          <w:color w:val="0070C0"/>
        </w:rPr>
        <w:t xml:space="preserve"> on the temporal calculation of the b-value (see point 2). </w:t>
      </w:r>
    </w:p>
    <w:p w14:paraId="23982874" w14:textId="77777777" w:rsidR="00907257" w:rsidRPr="00BB1A0B" w:rsidRDefault="00907257" w:rsidP="00907257">
      <w:pPr>
        <w:jc w:val="both"/>
        <w:rPr>
          <w:i/>
          <w:iCs/>
          <w:color w:val="0070C0"/>
        </w:rPr>
      </w:pPr>
    </w:p>
    <w:p w14:paraId="38F4055A" w14:textId="77777777" w:rsidR="00BB1A0B" w:rsidRPr="00853056" w:rsidRDefault="00BB1A0B" w:rsidP="00907257">
      <w:pPr>
        <w:jc w:val="both"/>
        <w:rPr>
          <w:color w:val="000000"/>
          <w:u w:val="single"/>
        </w:rPr>
      </w:pPr>
      <w:r w:rsidRPr="00853056">
        <w:rPr>
          <w:color w:val="000000"/>
          <w:u w:val="single"/>
        </w:rPr>
        <w:t>Point 2: Temporal calculation of the b-value</w:t>
      </w:r>
    </w:p>
    <w:p w14:paraId="047E316E" w14:textId="67B7D1FC" w:rsidR="00BB1A0B" w:rsidRPr="00D01BBA" w:rsidRDefault="005E50FF" w:rsidP="00907257">
      <w:pPr>
        <w:jc w:val="both"/>
        <w:rPr>
          <w:color w:val="000000"/>
        </w:rPr>
      </w:pPr>
      <w:r>
        <w:rPr>
          <w:color w:val="000000"/>
        </w:rPr>
        <w:t xml:space="preserve">a) </w:t>
      </w:r>
      <w:r w:rsidR="00BB1A0B" w:rsidRPr="00BB1A0B">
        <w:rPr>
          <w:color w:val="000000"/>
        </w:rPr>
        <w:t>It is unclear why different window sizes are used for calculating the temporal b-value evolution in Stage 1 versus Stages 2 and 3. I understand that Stage 1 has fewer events, making a 200-event window impractical. However, why were 200 events chosen for Stages 2 and 3 instead of 100? Figure S3 suggests that the differences between these choices are relatively small.</w:t>
      </w:r>
    </w:p>
    <w:p w14:paraId="1A7F314A" w14:textId="09EBEAD6" w:rsidR="00617902" w:rsidRDefault="00F42027" w:rsidP="5BB6DCE0">
      <w:pPr>
        <w:jc w:val="both"/>
        <w:rPr>
          <w:i/>
          <w:iCs/>
          <w:color w:val="0070C0"/>
          <w:lang w:val="en-GB"/>
        </w:rPr>
      </w:pPr>
      <w:r w:rsidRPr="5BB6DCE0">
        <w:rPr>
          <w:i/>
          <w:iCs/>
          <w:color w:val="0070C0"/>
          <w:lang w:val="en-GB"/>
        </w:rPr>
        <w:t xml:space="preserve">While 100 events seem to be enough to discern the pattern in the transient b-values (as seen in Fig S3), we </w:t>
      </w:r>
      <w:r w:rsidR="00651C87">
        <w:rPr>
          <w:i/>
          <w:iCs/>
          <w:color w:val="0070C0"/>
          <w:lang w:val="en-GB"/>
        </w:rPr>
        <w:t>opted</w:t>
      </w:r>
      <w:r w:rsidRPr="5BB6DCE0">
        <w:rPr>
          <w:i/>
          <w:iCs/>
          <w:color w:val="0070C0"/>
          <w:lang w:val="en-GB"/>
        </w:rPr>
        <w:t xml:space="preserve"> to be a bit more conservative</w:t>
      </w:r>
      <w:r w:rsidR="0044395D" w:rsidRPr="5BB6DCE0">
        <w:rPr>
          <w:i/>
          <w:iCs/>
          <w:color w:val="0070C0"/>
          <w:lang w:val="en-GB"/>
        </w:rPr>
        <w:t xml:space="preserve"> </w:t>
      </w:r>
      <w:r w:rsidR="00CC578F">
        <w:rPr>
          <w:i/>
          <w:iCs/>
          <w:color w:val="0070C0"/>
          <w:lang w:val="en-GB"/>
        </w:rPr>
        <w:t>and chose</w:t>
      </w:r>
      <w:r w:rsidR="0044395D" w:rsidRPr="5BB6DCE0">
        <w:rPr>
          <w:i/>
          <w:iCs/>
          <w:color w:val="0070C0"/>
          <w:lang w:val="en-GB"/>
        </w:rPr>
        <w:t xml:space="preserve"> 200 events per window for stage 2 and 3 in order to </w:t>
      </w:r>
      <w:r w:rsidR="00846672">
        <w:rPr>
          <w:i/>
          <w:iCs/>
          <w:color w:val="0070C0"/>
          <w:lang w:val="en-GB"/>
        </w:rPr>
        <w:t>help</w:t>
      </w:r>
      <w:r w:rsidR="00846672" w:rsidRPr="00846672">
        <w:rPr>
          <w:i/>
          <w:iCs/>
          <w:color w:val="0070C0"/>
          <w:lang w:val="en-GB"/>
        </w:rPr>
        <w:t xml:space="preserve"> mitigate potential biases associated with </w:t>
      </w:r>
      <w:r w:rsidR="0044395D" w:rsidRPr="5BB6DCE0">
        <w:rPr>
          <w:i/>
          <w:iCs/>
          <w:color w:val="0070C0"/>
          <w:lang w:val="en-GB"/>
        </w:rPr>
        <w:t xml:space="preserve">the </w:t>
      </w:r>
      <w:r w:rsidR="00846672" w:rsidRPr="00846672">
        <w:rPr>
          <w:i/>
          <w:iCs/>
          <w:color w:val="0070C0"/>
          <w:lang w:val="en-GB"/>
        </w:rPr>
        <w:t>use</w:t>
      </w:r>
      <w:r w:rsidR="0044395D" w:rsidRPr="5BB6DCE0">
        <w:rPr>
          <w:i/>
          <w:iCs/>
          <w:color w:val="0070C0"/>
          <w:lang w:val="en-GB"/>
        </w:rPr>
        <w:t xml:space="preserve"> of a </w:t>
      </w:r>
      <w:r w:rsidR="00846672" w:rsidRPr="00846672">
        <w:rPr>
          <w:i/>
          <w:iCs/>
          <w:color w:val="0070C0"/>
          <w:lang w:val="en-GB"/>
        </w:rPr>
        <w:t>relatively non-</w:t>
      </w:r>
      <w:r w:rsidR="0044395D" w:rsidRPr="5BB6DCE0">
        <w:rPr>
          <w:i/>
          <w:iCs/>
          <w:color w:val="0070C0"/>
          <w:lang w:val="en-GB"/>
        </w:rPr>
        <w:t>conservative Mc method and a fixe</w:t>
      </w:r>
      <w:r w:rsidR="000F4F7B" w:rsidRPr="5BB6DCE0">
        <w:rPr>
          <w:i/>
          <w:iCs/>
          <w:color w:val="0070C0"/>
          <w:lang w:val="en-GB"/>
        </w:rPr>
        <w:t>d</w:t>
      </w:r>
      <w:r w:rsidR="0044395D" w:rsidRPr="5BB6DCE0">
        <w:rPr>
          <w:i/>
          <w:iCs/>
          <w:color w:val="0070C0"/>
          <w:lang w:val="en-GB"/>
        </w:rPr>
        <w:t xml:space="preserve"> Mc (see reply </w:t>
      </w:r>
      <w:r w:rsidR="00A965AC">
        <w:rPr>
          <w:i/>
          <w:iCs/>
          <w:color w:val="0070C0"/>
          <w:lang w:val="en-GB"/>
        </w:rPr>
        <w:t>to point 2-</w:t>
      </w:r>
      <w:r w:rsidR="003D1E67">
        <w:rPr>
          <w:i/>
          <w:iCs/>
          <w:color w:val="0070C0"/>
          <w:lang w:val="en-GB"/>
        </w:rPr>
        <w:t>c</w:t>
      </w:r>
      <w:r w:rsidR="0044395D" w:rsidRPr="5BB6DCE0">
        <w:rPr>
          <w:i/>
          <w:iCs/>
          <w:color w:val="0070C0"/>
          <w:lang w:val="en-GB"/>
        </w:rPr>
        <w:t xml:space="preserve">). </w:t>
      </w:r>
      <w:r w:rsidR="007A2365" w:rsidRPr="5BB6DCE0">
        <w:rPr>
          <w:i/>
          <w:iCs/>
          <w:color w:val="0070C0"/>
          <w:lang w:val="en-GB"/>
        </w:rPr>
        <w:t xml:space="preserve">The choice of 200 events </w:t>
      </w:r>
      <w:r w:rsidR="00E5010B" w:rsidRPr="00E5010B">
        <w:rPr>
          <w:i/>
          <w:iCs/>
          <w:color w:val="0070C0"/>
          <w:lang w:val="en-GB"/>
        </w:rPr>
        <w:t xml:space="preserve">was </w:t>
      </w:r>
      <w:r w:rsidR="00F425B5">
        <w:rPr>
          <w:i/>
          <w:iCs/>
          <w:color w:val="0070C0"/>
          <w:lang w:val="en-GB"/>
        </w:rPr>
        <w:t xml:space="preserve">also </w:t>
      </w:r>
      <w:r w:rsidR="00E5010B" w:rsidRPr="00E5010B">
        <w:rPr>
          <w:i/>
          <w:iCs/>
          <w:color w:val="0070C0"/>
          <w:lang w:val="en-GB"/>
        </w:rPr>
        <w:t>primarily informed by a</w:t>
      </w:r>
      <w:r w:rsidR="007A2365" w:rsidRPr="5BB6DCE0">
        <w:rPr>
          <w:i/>
          <w:iCs/>
          <w:color w:val="0070C0"/>
          <w:lang w:val="en-GB"/>
        </w:rPr>
        <w:t xml:space="preserve"> comparison with b-positive transient b-value (assuming that </w:t>
      </w:r>
      <w:r w:rsidR="00481C31" w:rsidRPr="5BB6DCE0">
        <w:rPr>
          <w:i/>
          <w:iCs/>
          <w:color w:val="0070C0"/>
          <w:lang w:val="en-GB"/>
        </w:rPr>
        <w:t>only</w:t>
      </w:r>
      <w:r w:rsidR="00617902" w:rsidRPr="5BB6DCE0">
        <w:rPr>
          <w:i/>
          <w:iCs/>
          <w:color w:val="0070C0"/>
          <w:lang w:val="en-GB"/>
        </w:rPr>
        <w:t xml:space="preserve"> about</w:t>
      </w:r>
      <w:r w:rsidR="00481C31" w:rsidRPr="5BB6DCE0">
        <w:rPr>
          <w:i/>
          <w:iCs/>
          <w:color w:val="0070C0"/>
          <w:lang w:val="en-GB"/>
        </w:rPr>
        <w:t xml:space="preserve"> half of events are kept for b-positive) and a desire to keep at least 100 events per window even for b+(t). The figure below shows this comparison of the classical vs. positive b-value</w:t>
      </w:r>
      <w:r w:rsidR="00DD487C" w:rsidRPr="5BB6DCE0">
        <w:rPr>
          <w:i/>
          <w:iCs/>
          <w:color w:val="0070C0"/>
          <w:lang w:val="en-GB"/>
        </w:rPr>
        <w:t xml:space="preserve"> (this figure was added to the supplementary </w:t>
      </w:r>
      <w:r w:rsidR="00670B81">
        <w:rPr>
          <w:i/>
          <w:iCs/>
          <w:color w:val="0070C0"/>
          <w:lang w:val="en-GB"/>
        </w:rPr>
        <w:t>materials</w:t>
      </w:r>
      <w:r w:rsidR="00DD487C" w:rsidRPr="5BB6DCE0">
        <w:rPr>
          <w:i/>
          <w:iCs/>
          <w:color w:val="0070C0"/>
          <w:lang w:val="en-GB"/>
        </w:rPr>
        <w:t xml:space="preserve"> as Figure S</w:t>
      </w:r>
      <w:r w:rsidR="00945BF7">
        <w:rPr>
          <w:i/>
          <w:iCs/>
          <w:color w:val="0070C0"/>
          <w:lang w:val="en-GB"/>
        </w:rPr>
        <w:t>5</w:t>
      </w:r>
      <w:r w:rsidR="00DD487C" w:rsidRPr="5BB6DCE0">
        <w:rPr>
          <w:i/>
          <w:iCs/>
          <w:color w:val="0070C0"/>
          <w:lang w:val="en-GB"/>
        </w:rPr>
        <w:t>)</w:t>
      </w:r>
      <w:r w:rsidR="00481C31" w:rsidRPr="5BB6DCE0">
        <w:rPr>
          <w:i/>
          <w:iCs/>
          <w:color w:val="0070C0"/>
          <w:lang w:val="en-GB"/>
        </w:rPr>
        <w:t xml:space="preserve">. For each stage, the </w:t>
      </w:r>
      <w:r w:rsidR="00FF5C59" w:rsidRPr="5BB6DCE0">
        <w:rPr>
          <w:i/>
          <w:iCs/>
          <w:color w:val="0070C0"/>
          <w:lang w:val="en-GB"/>
        </w:rPr>
        <w:t xml:space="preserve">main ‘signal’ is </w:t>
      </w:r>
      <w:r w:rsidR="003F3F37">
        <w:rPr>
          <w:i/>
          <w:iCs/>
          <w:color w:val="0070C0"/>
          <w:lang w:val="en-GB"/>
        </w:rPr>
        <w:t xml:space="preserve">retained </w:t>
      </w:r>
      <w:r w:rsidR="003F3F37" w:rsidRPr="003F3F37">
        <w:rPr>
          <w:i/>
          <w:iCs/>
          <w:color w:val="0070C0"/>
          <w:lang w:val="en-GB"/>
        </w:rPr>
        <w:t>regardless of the method chosen</w:t>
      </w:r>
      <w:r w:rsidR="00FF5C59" w:rsidRPr="5BB6DCE0">
        <w:rPr>
          <w:i/>
          <w:iCs/>
          <w:color w:val="0070C0"/>
          <w:lang w:val="en-GB"/>
        </w:rPr>
        <w:t>.</w:t>
      </w:r>
    </w:p>
    <w:p w14:paraId="10B31416" w14:textId="7BDFE11F" w:rsidR="00907257" w:rsidRPr="005D0C39" w:rsidRDefault="00481C31" w:rsidP="005D0C39">
      <w:pPr>
        <w:jc w:val="center"/>
        <w:rPr>
          <w:i/>
          <w:color w:val="0070C0"/>
          <w:lang w:val="en-GB"/>
        </w:rPr>
      </w:pPr>
      <w:r w:rsidRPr="00481C31">
        <w:rPr>
          <w:noProof/>
        </w:rPr>
        <w:drawing>
          <wp:inline distT="0" distB="0" distL="0" distR="0" wp14:anchorId="3320AF3E" wp14:editId="68854242">
            <wp:extent cx="4548053" cy="2849925"/>
            <wp:effectExtent l="0" t="0" r="0" b="0"/>
            <wp:docPr id="1165249563" name="Picture 1" descr="A graph of different stages of a window&#10;&#10;AI-generated content may be incorrect.">
              <a:extLst xmlns:a="http://schemas.openxmlformats.org/drawingml/2006/main">
                <a:ext uri="{FF2B5EF4-FFF2-40B4-BE49-F238E27FC236}">
                  <a16:creationId xmlns:a16="http://schemas.microsoft.com/office/drawing/2014/main" id="{CA5D00E8-74C1-4297-8787-51E1148D6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49563" name="Picture 1" descr="A graph of different stages of a window&#10;&#10;AI-generated content may be incorrect."/>
                    <pic:cNvPicPr/>
                  </pic:nvPicPr>
                  <pic:blipFill rotWithShape="1">
                    <a:blip r:embed="rId5"/>
                    <a:srcRect t="9129" b="-2215"/>
                    <a:stretch>
                      <a:fillRect/>
                    </a:stretch>
                  </pic:blipFill>
                  <pic:spPr bwMode="auto">
                    <a:xfrm>
                      <a:off x="0" y="0"/>
                      <a:ext cx="4657224" cy="2918335"/>
                    </a:xfrm>
                    <a:prstGeom prst="rect">
                      <a:avLst/>
                    </a:prstGeom>
                    <a:ln>
                      <a:noFill/>
                    </a:ln>
                    <a:extLst>
                      <a:ext uri="{53640926-AAD7-44D8-BBD7-CCE9431645EC}">
                        <a14:shadowObscured xmlns:a14="http://schemas.microsoft.com/office/drawing/2010/main"/>
                      </a:ext>
                    </a:extLst>
                  </pic:spPr>
                </pic:pic>
              </a:graphicData>
            </a:graphic>
          </wp:inline>
        </w:drawing>
      </w:r>
    </w:p>
    <w:p w14:paraId="71DD9D14" w14:textId="6F4E2C77" w:rsidR="00481C31" w:rsidRPr="00BB1A0B" w:rsidRDefault="006D05C4" w:rsidP="00481C31">
      <w:pPr>
        <w:jc w:val="both"/>
        <w:rPr>
          <w:i/>
          <w:iCs/>
          <w:color w:val="0070C0"/>
        </w:rPr>
      </w:pPr>
      <w:r>
        <w:rPr>
          <w:i/>
          <w:iCs/>
          <w:color w:val="0070C0"/>
        </w:rPr>
        <w:t>Fig</w:t>
      </w:r>
      <w:r w:rsidR="00DD59D7">
        <w:rPr>
          <w:i/>
          <w:iCs/>
          <w:color w:val="0070C0"/>
        </w:rPr>
        <w:t>ure</w:t>
      </w:r>
      <w:r>
        <w:rPr>
          <w:i/>
          <w:iCs/>
          <w:color w:val="0070C0"/>
        </w:rPr>
        <w:t xml:space="preserve"> S</w:t>
      </w:r>
      <w:r w:rsidR="005D0C39">
        <w:rPr>
          <w:i/>
          <w:iCs/>
          <w:color w:val="0070C0"/>
        </w:rPr>
        <w:t>5</w:t>
      </w:r>
      <w:r>
        <w:rPr>
          <w:i/>
          <w:iCs/>
          <w:color w:val="0070C0"/>
        </w:rPr>
        <w:t>:</w:t>
      </w:r>
      <w:r w:rsidR="005D0C39">
        <w:rPr>
          <w:i/>
          <w:iCs/>
          <w:color w:val="0070C0"/>
        </w:rPr>
        <w:t xml:space="preserve"> </w:t>
      </w:r>
      <w:r w:rsidR="00117A27" w:rsidRPr="00117A27">
        <w:rPr>
          <w:i/>
          <w:iCs/>
          <w:color w:val="0070C0"/>
        </w:rPr>
        <w:t xml:space="preserve">Comparison between the classical and b-positive </w:t>
      </w:r>
      <w:r w:rsidR="006C6B9F">
        <w:rPr>
          <w:i/>
          <w:iCs/>
          <w:color w:val="0070C0"/>
        </w:rPr>
        <w:t>approaches</w:t>
      </w:r>
      <w:r w:rsidR="00117A27" w:rsidRPr="00117A27">
        <w:rPr>
          <w:i/>
          <w:iCs/>
          <w:color w:val="0070C0"/>
        </w:rPr>
        <w:t xml:space="preserve"> for b-value computation</w:t>
      </w:r>
    </w:p>
    <w:p w14:paraId="783AFED5" w14:textId="6A709D8D" w:rsidR="00BB1A0B" w:rsidRPr="00D01BBA" w:rsidRDefault="00583E5C" w:rsidP="00907257">
      <w:pPr>
        <w:jc w:val="both"/>
        <w:rPr>
          <w:color w:val="000000"/>
        </w:rPr>
      </w:pPr>
      <w:r>
        <w:rPr>
          <w:color w:val="000000"/>
        </w:rPr>
        <w:lastRenderedPageBreak/>
        <w:t xml:space="preserve">b) </w:t>
      </w:r>
      <w:r w:rsidR="00BB1A0B" w:rsidRPr="00BB1A0B">
        <w:rPr>
          <w:color w:val="000000"/>
        </w:rPr>
        <w:t>What physical mechanism explains the continuous increase of the b-value after shut-in during Stage 3?</w:t>
      </w:r>
    </w:p>
    <w:p w14:paraId="68538B37" w14:textId="7C4D8E06" w:rsidR="00DD7E57" w:rsidRDefault="00FF5C59" w:rsidP="5BB6DCE0">
      <w:pPr>
        <w:jc w:val="both"/>
        <w:rPr>
          <w:i/>
          <w:iCs/>
          <w:color w:val="0070C0"/>
          <w:lang w:val="en-GB"/>
        </w:rPr>
      </w:pPr>
      <w:r w:rsidRPr="5BB6DCE0">
        <w:rPr>
          <w:i/>
          <w:iCs/>
          <w:color w:val="0070C0"/>
          <w:lang w:val="en-GB"/>
        </w:rPr>
        <w:t>While we don’t have a</w:t>
      </w:r>
      <w:r w:rsidR="009211C1" w:rsidRPr="5BB6DCE0">
        <w:rPr>
          <w:i/>
          <w:iCs/>
          <w:color w:val="0070C0"/>
          <w:lang w:val="en-GB"/>
        </w:rPr>
        <w:t xml:space="preserve"> full </w:t>
      </w:r>
      <w:r w:rsidR="0056032E" w:rsidRPr="5BB6DCE0">
        <w:rPr>
          <w:i/>
          <w:iCs/>
          <w:color w:val="0070C0"/>
          <w:lang w:val="en-GB"/>
        </w:rPr>
        <w:t>explanation</w:t>
      </w:r>
      <w:r w:rsidR="009211C1" w:rsidRPr="5BB6DCE0">
        <w:rPr>
          <w:i/>
          <w:iCs/>
          <w:color w:val="0070C0"/>
          <w:lang w:val="en-GB"/>
        </w:rPr>
        <w:t xml:space="preserve"> for this continu</w:t>
      </w:r>
      <w:r w:rsidR="00617902" w:rsidRPr="5BB6DCE0">
        <w:rPr>
          <w:i/>
          <w:iCs/>
          <w:color w:val="0070C0"/>
          <w:lang w:val="en-GB"/>
        </w:rPr>
        <w:t>ed</w:t>
      </w:r>
      <w:r w:rsidR="009211C1" w:rsidRPr="5BB6DCE0">
        <w:rPr>
          <w:i/>
          <w:iCs/>
          <w:color w:val="0070C0"/>
          <w:lang w:val="en-GB"/>
        </w:rPr>
        <w:t xml:space="preserve"> increase of the b-value after shut-in in stage 3, we have a few hypotheses.</w:t>
      </w:r>
      <w:r w:rsidR="00BB1A21" w:rsidRPr="5BB6DCE0">
        <w:rPr>
          <w:i/>
          <w:iCs/>
          <w:color w:val="0070C0"/>
          <w:lang w:val="en-GB"/>
        </w:rPr>
        <w:t xml:space="preserve"> </w:t>
      </w:r>
      <w:r w:rsidR="009211C1" w:rsidRPr="5BB6DCE0">
        <w:rPr>
          <w:i/>
          <w:iCs/>
          <w:color w:val="0070C0"/>
          <w:lang w:val="en-GB"/>
        </w:rPr>
        <w:t xml:space="preserve">If we had seen a decrease of the b-value, this </w:t>
      </w:r>
      <w:r w:rsidR="008A6B7C" w:rsidRPr="5BB6DCE0">
        <w:rPr>
          <w:i/>
          <w:iCs/>
          <w:color w:val="0070C0"/>
          <w:lang w:val="en-GB"/>
        </w:rPr>
        <w:t>c</w:t>
      </w:r>
      <w:r w:rsidR="009211C1" w:rsidRPr="5BB6DCE0">
        <w:rPr>
          <w:i/>
          <w:iCs/>
          <w:color w:val="0070C0"/>
          <w:lang w:val="en-GB"/>
        </w:rPr>
        <w:t xml:space="preserve">ould have </w:t>
      </w:r>
      <w:r w:rsidR="0029650C">
        <w:rPr>
          <w:i/>
          <w:iCs/>
          <w:color w:val="0070C0"/>
          <w:lang w:val="en-GB"/>
        </w:rPr>
        <w:t>suggested</w:t>
      </w:r>
      <w:r w:rsidR="009211C1" w:rsidRPr="5BB6DCE0">
        <w:rPr>
          <w:i/>
          <w:iCs/>
          <w:color w:val="0070C0"/>
          <w:lang w:val="en-GB"/>
        </w:rPr>
        <w:t xml:space="preserve"> </w:t>
      </w:r>
      <w:r w:rsidR="008A6B7C" w:rsidRPr="5BB6DCE0">
        <w:rPr>
          <w:i/>
          <w:iCs/>
          <w:color w:val="0070C0"/>
          <w:lang w:val="en-GB"/>
        </w:rPr>
        <w:t xml:space="preserve">the reactivation of a potentially critically stressed fault, </w:t>
      </w:r>
      <w:r w:rsidR="00CC14DB" w:rsidRPr="00CC14DB">
        <w:rPr>
          <w:i/>
          <w:iCs/>
          <w:color w:val="0070C0"/>
          <w:lang w:val="en-GB"/>
        </w:rPr>
        <w:t xml:space="preserve">however, this is not supported by the spatial propagation of seismicity or the analysis of potential fracturing mechanisms. </w:t>
      </w:r>
      <w:r w:rsidR="001448BB">
        <w:rPr>
          <w:i/>
          <w:iCs/>
          <w:color w:val="0070C0"/>
          <w:lang w:val="en-GB"/>
        </w:rPr>
        <w:t>Instead, t</w:t>
      </w:r>
      <w:r w:rsidR="00BB1A21" w:rsidRPr="5BB6DCE0">
        <w:rPr>
          <w:i/>
          <w:iCs/>
          <w:color w:val="0070C0"/>
          <w:lang w:val="en-GB"/>
        </w:rPr>
        <w:t xml:space="preserve">he increase in b-value, </w:t>
      </w:r>
      <w:r w:rsidR="00B33EC0">
        <w:rPr>
          <w:i/>
          <w:iCs/>
          <w:color w:val="0070C0"/>
          <w:lang w:val="en-GB"/>
        </w:rPr>
        <w:t xml:space="preserve">is </w:t>
      </w:r>
      <w:r w:rsidR="00CB2369" w:rsidRPr="00CB2369">
        <w:rPr>
          <w:i/>
          <w:iCs/>
          <w:color w:val="0070C0"/>
          <w:lang w:val="en-GB"/>
        </w:rPr>
        <w:t>consistent with</w:t>
      </w:r>
      <w:r w:rsidR="00BB1A21" w:rsidRPr="5BB6DCE0">
        <w:rPr>
          <w:i/>
          <w:iCs/>
          <w:color w:val="0070C0"/>
          <w:lang w:val="en-GB"/>
        </w:rPr>
        <w:t xml:space="preserve"> seismicity </w:t>
      </w:r>
      <w:r w:rsidR="00CB2369" w:rsidRPr="00CB2369">
        <w:rPr>
          <w:i/>
          <w:iCs/>
          <w:color w:val="0070C0"/>
          <w:lang w:val="en-GB"/>
        </w:rPr>
        <w:t xml:space="preserve">remaining 'contained' </w:t>
      </w:r>
      <w:r w:rsidR="00BB1A21" w:rsidRPr="5BB6DCE0">
        <w:rPr>
          <w:i/>
          <w:iCs/>
          <w:color w:val="0070C0"/>
          <w:lang w:val="en-GB"/>
        </w:rPr>
        <w:t xml:space="preserve">within the stimulated fracture, and </w:t>
      </w:r>
      <w:r w:rsidR="006E31D5">
        <w:rPr>
          <w:i/>
          <w:iCs/>
          <w:color w:val="0070C0"/>
          <w:lang w:val="en-GB"/>
        </w:rPr>
        <w:t>with</w:t>
      </w:r>
      <w:r w:rsidR="00BB1A21" w:rsidRPr="5BB6DCE0">
        <w:rPr>
          <w:i/>
          <w:iCs/>
          <w:color w:val="0070C0"/>
          <w:lang w:val="en-GB"/>
        </w:rPr>
        <w:t xml:space="preserve"> the </w:t>
      </w:r>
      <w:r w:rsidR="00232799" w:rsidRPr="5BB6DCE0">
        <w:rPr>
          <w:i/>
          <w:iCs/>
          <w:color w:val="0070C0"/>
          <w:lang w:val="en-GB"/>
        </w:rPr>
        <w:t xml:space="preserve">re-triggering of </w:t>
      </w:r>
      <w:r w:rsidR="005F3B99" w:rsidRPr="5BB6DCE0">
        <w:rPr>
          <w:i/>
          <w:iCs/>
          <w:color w:val="0070C0"/>
          <w:lang w:val="en-GB"/>
        </w:rPr>
        <w:t>asperities that had already ruptured earlier in the stage</w:t>
      </w:r>
      <w:r w:rsidR="00A1623F" w:rsidRPr="5BB6DCE0">
        <w:rPr>
          <w:i/>
          <w:iCs/>
          <w:color w:val="0070C0"/>
          <w:lang w:val="en-GB"/>
        </w:rPr>
        <w:t xml:space="preserve"> (Ritz et al., 2022)</w:t>
      </w:r>
      <w:r w:rsidR="005F3B99" w:rsidRPr="5BB6DCE0">
        <w:rPr>
          <w:i/>
          <w:iCs/>
          <w:color w:val="0070C0"/>
          <w:lang w:val="en-GB"/>
        </w:rPr>
        <w:t>. This hypothesis is supported by the time-distance analysis (Fig. 4) which shows high b-values</w:t>
      </w:r>
      <w:r w:rsidR="00A1623F" w:rsidRPr="5BB6DCE0">
        <w:rPr>
          <w:i/>
          <w:iCs/>
          <w:color w:val="0070C0"/>
          <w:lang w:val="en-GB"/>
        </w:rPr>
        <w:t xml:space="preserve"> later in the stage for distances ~50-100 m from the check</w:t>
      </w:r>
      <w:r w:rsidR="00D97302">
        <w:rPr>
          <w:i/>
          <w:iCs/>
          <w:color w:val="0070C0"/>
          <w:lang w:val="en-GB"/>
        </w:rPr>
        <w:t xml:space="preserve"> </w:t>
      </w:r>
      <w:r w:rsidR="00A1623F" w:rsidRPr="5BB6DCE0">
        <w:rPr>
          <w:i/>
          <w:iCs/>
          <w:color w:val="0070C0"/>
          <w:lang w:val="en-GB"/>
        </w:rPr>
        <w:t>shot</w:t>
      </w:r>
      <w:r w:rsidR="00D94596" w:rsidRPr="5BB6DCE0">
        <w:rPr>
          <w:i/>
          <w:iCs/>
          <w:color w:val="0070C0"/>
          <w:lang w:val="en-GB"/>
        </w:rPr>
        <w:t xml:space="preserve"> </w:t>
      </w:r>
      <w:r w:rsidR="00996D58" w:rsidRPr="5BB6DCE0">
        <w:rPr>
          <w:i/>
          <w:iCs/>
          <w:color w:val="0070C0"/>
          <w:lang w:val="en-GB"/>
        </w:rPr>
        <w:t>compatible with</w:t>
      </w:r>
      <w:r w:rsidR="00D94596" w:rsidRPr="5BB6DCE0">
        <w:rPr>
          <w:i/>
          <w:iCs/>
          <w:color w:val="0070C0"/>
          <w:lang w:val="en-GB"/>
        </w:rPr>
        <w:t xml:space="preserve"> re-triggering</w:t>
      </w:r>
      <w:r w:rsidR="00A1623F" w:rsidRPr="5BB6DCE0">
        <w:rPr>
          <w:i/>
          <w:iCs/>
          <w:color w:val="0070C0"/>
          <w:lang w:val="en-GB"/>
        </w:rPr>
        <w:t xml:space="preserve">. </w:t>
      </w:r>
      <w:r w:rsidR="00F86009">
        <w:rPr>
          <w:i/>
          <w:iCs/>
          <w:color w:val="0070C0"/>
          <w:lang w:val="en-GB"/>
        </w:rPr>
        <w:t>We have added a</w:t>
      </w:r>
      <w:r w:rsidR="00477DD0">
        <w:rPr>
          <w:i/>
          <w:iCs/>
          <w:color w:val="0070C0"/>
          <w:lang w:val="en-GB"/>
        </w:rPr>
        <w:t xml:space="preserve"> short sentence at line 388</w:t>
      </w:r>
      <w:r w:rsidR="00CA71BB">
        <w:rPr>
          <w:i/>
          <w:iCs/>
          <w:color w:val="0070C0"/>
          <w:lang w:val="en-GB"/>
        </w:rPr>
        <w:t>-389 of the annotated manuscrip</w:t>
      </w:r>
      <w:r w:rsidR="00B61E0F">
        <w:rPr>
          <w:i/>
          <w:iCs/>
          <w:color w:val="0070C0"/>
          <w:lang w:val="en-GB"/>
        </w:rPr>
        <w:t xml:space="preserve">t </w:t>
      </w:r>
      <w:r w:rsidR="0061539F">
        <w:rPr>
          <w:i/>
          <w:iCs/>
          <w:color w:val="0070C0"/>
          <w:lang w:val="en-GB"/>
        </w:rPr>
        <w:t xml:space="preserve">to reflect </w:t>
      </w:r>
      <w:r w:rsidR="00B61E0F">
        <w:rPr>
          <w:i/>
          <w:iCs/>
          <w:color w:val="0070C0"/>
          <w:lang w:val="en-GB"/>
        </w:rPr>
        <w:t>th</w:t>
      </w:r>
      <w:r w:rsidR="00A90E4D">
        <w:rPr>
          <w:i/>
          <w:iCs/>
          <w:color w:val="0070C0"/>
          <w:lang w:val="en-GB"/>
        </w:rPr>
        <w:t xml:space="preserve">is possible </w:t>
      </w:r>
      <w:r w:rsidR="001F4103">
        <w:rPr>
          <w:i/>
          <w:iCs/>
          <w:color w:val="0070C0"/>
          <w:lang w:val="en-GB"/>
        </w:rPr>
        <w:t>explanation</w:t>
      </w:r>
      <w:r w:rsidR="00A90E4D">
        <w:rPr>
          <w:i/>
          <w:iCs/>
          <w:color w:val="0070C0"/>
          <w:lang w:val="en-GB"/>
        </w:rPr>
        <w:t>.</w:t>
      </w:r>
    </w:p>
    <w:p w14:paraId="00675D5A" w14:textId="77777777" w:rsidR="00907257" w:rsidRPr="00BB1A0B" w:rsidRDefault="00907257" w:rsidP="00907257">
      <w:pPr>
        <w:jc w:val="both"/>
        <w:rPr>
          <w:i/>
          <w:iCs/>
          <w:color w:val="0070C0"/>
        </w:rPr>
      </w:pPr>
    </w:p>
    <w:p w14:paraId="0A4F2239" w14:textId="0A59B356" w:rsidR="00BB1A0B" w:rsidRPr="00D01BBA" w:rsidRDefault="00583E5C" w:rsidP="00907257">
      <w:pPr>
        <w:jc w:val="both"/>
        <w:rPr>
          <w:color w:val="000000"/>
        </w:rPr>
      </w:pPr>
      <w:r>
        <w:rPr>
          <w:color w:val="000000"/>
        </w:rPr>
        <w:t xml:space="preserve">c) </w:t>
      </w:r>
      <w:r w:rsidR="00BB1A0B" w:rsidRPr="00BB1A0B">
        <w:rPr>
          <w:color w:val="000000"/>
        </w:rPr>
        <w:t>Temporal variations in the magnitude of completeness may influence the estimated b-values. Was a fixed Mc used throughout the calculation? If not, I suggest plotting the temporal evolution of Mc alongside the b-value to clarify this issue.</w:t>
      </w:r>
    </w:p>
    <w:p w14:paraId="61EC4BA3" w14:textId="57970C8C" w:rsidR="00DD7E57" w:rsidRDefault="00D26B2C" w:rsidP="5BB6DCE0">
      <w:pPr>
        <w:jc w:val="both"/>
        <w:rPr>
          <w:i/>
          <w:iCs/>
          <w:color w:val="0070C0"/>
          <w:lang w:val="en-GB"/>
        </w:rPr>
      </w:pPr>
      <w:r>
        <w:rPr>
          <w:i/>
          <w:iCs/>
          <w:color w:val="0070C0"/>
          <w:lang w:val="en-GB"/>
        </w:rPr>
        <w:t xml:space="preserve">We thank </w:t>
      </w:r>
      <w:r w:rsidR="003E6465">
        <w:rPr>
          <w:i/>
          <w:iCs/>
          <w:color w:val="0070C0"/>
          <w:lang w:val="en-GB"/>
        </w:rPr>
        <w:t xml:space="preserve">the reviewer for this comment. </w:t>
      </w:r>
      <w:r w:rsidR="00B57276" w:rsidRPr="5BB6DCE0">
        <w:rPr>
          <w:i/>
          <w:iCs/>
          <w:color w:val="0070C0"/>
          <w:lang w:val="en-GB"/>
        </w:rPr>
        <w:t>It is true that the completeness can also vary in time and</w:t>
      </w:r>
      <w:r w:rsidR="00731393" w:rsidRPr="5BB6DCE0">
        <w:rPr>
          <w:i/>
          <w:iCs/>
          <w:color w:val="0070C0"/>
          <w:lang w:val="en-GB"/>
        </w:rPr>
        <w:t xml:space="preserve"> can</w:t>
      </w:r>
      <w:r w:rsidR="00B57276" w:rsidRPr="5BB6DCE0">
        <w:rPr>
          <w:i/>
          <w:iCs/>
          <w:color w:val="0070C0"/>
          <w:lang w:val="en-GB"/>
        </w:rPr>
        <w:t xml:space="preserve"> impact the b-value quite severely. </w:t>
      </w:r>
      <w:r w:rsidR="000900F8">
        <w:rPr>
          <w:i/>
          <w:iCs/>
          <w:color w:val="0070C0"/>
          <w:lang w:val="en-GB"/>
        </w:rPr>
        <w:t>To investigate this further,</w:t>
      </w:r>
      <w:r w:rsidR="00B57276" w:rsidRPr="5BB6DCE0">
        <w:rPr>
          <w:i/>
          <w:iCs/>
          <w:color w:val="0070C0"/>
          <w:lang w:val="en-GB"/>
        </w:rPr>
        <w:t xml:space="preserve"> w</w:t>
      </w:r>
      <w:r w:rsidR="00B41270">
        <w:rPr>
          <w:i/>
          <w:iCs/>
          <w:color w:val="0070C0"/>
          <w:lang w:val="en-GB"/>
        </w:rPr>
        <w:t>e have</w:t>
      </w:r>
      <w:r w:rsidR="00B57276" w:rsidRPr="5BB6DCE0">
        <w:rPr>
          <w:i/>
          <w:iCs/>
          <w:color w:val="0070C0"/>
          <w:lang w:val="en-GB"/>
        </w:rPr>
        <w:t xml:space="preserve"> </w:t>
      </w:r>
      <w:r w:rsidR="00055632">
        <w:rPr>
          <w:i/>
          <w:iCs/>
          <w:color w:val="0070C0"/>
          <w:lang w:val="en-GB"/>
        </w:rPr>
        <w:t>plotted</w:t>
      </w:r>
      <w:r w:rsidR="004C7181">
        <w:rPr>
          <w:i/>
          <w:iCs/>
          <w:color w:val="0070C0"/>
          <w:lang w:val="en-GB"/>
        </w:rPr>
        <w:t xml:space="preserve"> together the results obtained from</w:t>
      </w:r>
      <w:r w:rsidR="00B74AE0">
        <w:rPr>
          <w:i/>
          <w:iCs/>
          <w:color w:val="0070C0"/>
          <w:lang w:val="en-GB"/>
        </w:rPr>
        <w:t xml:space="preserve"> </w:t>
      </w:r>
      <w:r w:rsidR="00956EA3">
        <w:rPr>
          <w:i/>
          <w:iCs/>
          <w:color w:val="0070C0"/>
          <w:lang w:val="en-GB"/>
        </w:rPr>
        <w:t xml:space="preserve">both </w:t>
      </w:r>
      <w:r w:rsidR="00692EB6">
        <w:rPr>
          <w:i/>
          <w:iCs/>
          <w:color w:val="0070C0"/>
          <w:lang w:val="en-GB"/>
        </w:rPr>
        <w:t>the</w:t>
      </w:r>
      <w:r w:rsidR="00B57276" w:rsidRPr="5BB6DCE0">
        <w:rPr>
          <w:i/>
          <w:iCs/>
          <w:color w:val="0070C0"/>
          <w:lang w:val="en-GB"/>
        </w:rPr>
        <w:t xml:space="preserve"> fixed</w:t>
      </w:r>
      <w:r w:rsidR="00956EA3">
        <w:rPr>
          <w:i/>
          <w:iCs/>
          <w:color w:val="0070C0"/>
          <w:lang w:val="en-GB"/>
        </w:rPr>
        <w:t xml:space="preserve"> and</w:t>
      </w:r>
      <w:r w:rsidR="00B57276" w:rsidRPr="5BB6DCE0">
        <w:rPr>
          <w:i/>
          <w:iCs/>
          <w:color w:val="0070C0"/>
          <w:lang w:val="en-GB"/>
        </w:rPr>
        <w:t xml:space="preserve"> </w:t>
      </w:r>
      <w:r w:rsidR="00731393" w:rsidRPr="5BB6DCE0">
        <w:rPr>
          <w:i/>
          <w:iCs/>
          <w:color w:val="0070C0"/>
          <w:lang w:val="en-GB"/>
        </w:rPr>
        <w:t>variable</w:t>
      </w:r>
      <w:r w:rsidR="00B57276" w:rsidRPr="5BB6DCE0">
        <w:rPr>
          <w:i/>
          <w:iCs/>
          <w:color w:val="0070C0"/>
          <w:lang w:val="en-GB"/>
        </w:rPr>
        <w:t xml:space="preserve"> Mc approach</w:t>
      </w:r>
      <w:r w:rsidR="00B74AE0">
        <w:rPr>
          <w:i/>
          <w:iCs/>
          <w:color w:val="0070C0"/>
          <w:lang w:val="en-GB"/>
        </w:rPr>
        <w:t>es</w:t>
      </w:r>
      <w:r w:rsidR="00B57276" w:rsidRPr="5BB6DCE0">
        <w:rPr>
          <w:i/>
          <w:iCs/>
          <w:color w:val="0070C0"/>
          <w:lang w:val="en-GB"/>
        </w:rPr>
        <w:t xml:space="preserve"> </w:t>
      </w:r>
      <w:r w:rsidR="00CB362C" w:rsidRPr="5BB6DCE0">
        <w:rPr>
          <w:i/>
          <w:iCs/>
          <w:color w:val="0070C0"/>
          <w:lang w:val="en-GB"/>
        </w:rPr>
        <w:t>(</w:t>
      </w:r>
      <w:r w:rsidR="000900F8">
        <w:rPr>
          <w:i/>
          <w:iCs/>
          <w:color w:val="0070C0"/>
          <w:lang w:val="en-GB"/>
        </w:rPr>
        <w:t>new supplementary</w:t>
      </w:r>
      <w:r w:rsidR="00B41270">
        <w:rPr>
          <w:i/>
          <w:iCs/>
          <w:color w:val="0070C0"/>
          <w:lang w:val="en-GB"/>
        </w:rPr>
        <w:t xml:space="preserve"> Figure </w:t>
      </w:r>
      <w:r w:rsidR="00D73B86">
        <w:rPr>
          <w:i/>
          <w:iCs/>
          <w:color w:val="0070C0"/>
          <w:lang w:val="en-GB"/>
        </w:rPr>
        <w:t>S4</w:t>
      </w:r>
      <w:r w:rsidR="00B74AE0">
        <w:rPr>
          <w:i/>
          <w:iCs/>
          <w:color w:val="0070C0"/>
          <w:lang w:val="en-GB"/>
        </w:rPr>
        <w:t>, also shown below</w:t>
      </w:r>
      <w:r w:rsidR="00CB362C" w:rsidRPr="5BB6DCE0">
        <w:rPr>
          <w:i/>
          <w:iCs/>
          <w:color w:val="0070C0"/>
          <w:lang w:val="en-GB"/>
        </w:rPr>
        <w:t>). This comparison shows that</w:t>
      </w:r>
      <w:r w:rsidR="00B74AE0">
        <w:rPr>
          <w:i/>
          <w:iCs/>
          <w:color w:val="0070C0"/>
          <w:lang w:val="en-GB"/>
        </w:rPr>
        <w:t>,</w:t>
      </w:r>
      <w:r w:rsidR="00CB362C" w:rsidRPr="5BB6DCE0">
        <w:rPr>
          <w:i/>
          <w:iCs/>
          <w:color w:val="0070C0"/>
          <w:lang w:val="en-GB"/>
        </w:rPr>
        <w:t xml:space="preserve"> while the Mc does vary slightly over time, the general</w:t>
      </w:r>
      <w:r w:rsidR="004B6355" w:rsidRPr="5BB6DCE0">
        <w:rPr>
          <w:i/>
          <w:iCs/>
          <w:color w:val="0070C0"/>
          <w:lang w:val="en-GB"/>
        </w:rPr>
        <w:t xml:space="preserve"> </w:t>
      </w:r>
      <w:r w:rsidR="00CB362C" w:rsidRPr="5BB6DCE0">
        <w:rPr>
          <w:i/>
          <w:iCs/>
          <w:color w:val="0070C0"/>
          <w:lang w:val="en-GB"/>
        </w:rPr>
        <w:t xml:space="preserve">b-value pattern for each stage remains </w:t>
      </w:r>
      <w:r w:rsidR="00856196" w:rsidRPr="5BB6DCE0">
        <w:rPr>
          <w:i/>
          <w:iCs/>
          <w:color w:val="0070C0"/>
          <w:lang w:val="en-GB"/>
        </w:rPr>
        <w:t>consistent</w:t>
      </w:r>
      <w:r w:rsidR="004B6355" w:rsidRPr="5BB6DCE0">
        <w:rPr>
          <w:i/>
          <w:iCs/>
          <w:color w:val="0070C0"/>
          <w:lang w:val="en-GB"/>
        </w:rPr>
        <w:t xml:space="preserve"> (especially </w:t>
      </w:r>
      <w:r w:rsidR="004A3E5F" w:rsidRPr="5BB6DCE0">
        <w:rPr>
          <w:i/>
          <w:iCs/>
          <w:color w:val="0070C0"/>
          <w:lang w:val="en-GB"/>
        </w:rPr>
        <w:t>during the injection</w:t>
      </w:r>
      <w:r w:rsidR="00731393" w:rsidRPr="5BB6DCE0">
        <w:rPr>
          <w:i/>
          <w:iCs/>
          <w:color w:val="0070C0"/>
          <w:lang w:val="en-GB"/>
        </w:rPr>
        <w:t xml:space="preserve"> phase for stages 2 and 3</w:t>
      </w:r>
      <w:r w:rsidR="004A3E5F" w:rsidRPr="5BB6DCE0">
        <w:rPr>
          <w:i/>
          <w:iCs/>
          <w:color w:val="0070C0"/>
          <w:lang w:val="en-GB"/>
        </w:rPr>
        <w:t>)</w:t>
      </w:r>
      <w:r w:rsidR="00B418FD" w:rsidRPr="5BB6DCE0">
        <w:rPr>
          <w:i/>
          <w:iCs/>
          <w:color w:val="0070C0"/>
          <w:lang w:val="en-GB"/>
        </w:rPr>
        <w:t xml:space="preserve"> between the fixed and </w:t>
      </w:r>
      <w:r w:rsidR="00731393" w:rsidRPr="5BB6DCE0">
        <w:rPr>
          <w:i/>
          <w:iCs/>
          <w:color w:val="0070C0"/>
          <w:lang w:val="en-GB"/>
        </w:rPr>
        <w:t>variable</w:t>
      </w:r>
      <w:r w:rsidR="00B418FD" w:rsidRPr="5BB6DCE0">
        <w:rPr>
          <w:i/>
          <w:iCs/>
          <w:color w:val="0070C0"/>
          <w:lang w:val="en-GB"/>
        </w:rPr>
        <w:t xml:space="preserve"> Mc approache</w:t>
      </w:r>
      <w:r w:rsidR="00731393" w:rsidRPr="5BB6DCE0">
        <w:rPr>
          <w:i/>
          <w:iCs/>
          <w:color w:val="0070C0"/>
          <w:lang w:val="en-GB"/>
        </w:rPr>
        <w:t>s</w:t>
      </w:r>
      <w:r w:rsidR="00B418FD" w:rsidRPr="5BB6DCE0">
        <w:rPr>
          <w:i/>
          <w:iCs/>
          <w:color w:val="0070C0"/>
          <w:lang w:val="en-GB"/>
        </w:rPr>
        <w:t xml:space="preserve">. </w:t>
      </w:r>
      <w:r w:rsidR="00A72BE9">
        <w:rPr>
          <w:i/>
          <w:iCs/>
          <w:color w:val="0070C0"/>
          <w:lang w:val="en-GB"/>
        </w:rPr>
        <w:t>Given the similarity</w:t>
      </w:r>
      <w:r w:rsidR="001E355A">
        <w:rPr>
          <w:i/>
          <w:iCs/>
          <w:color w:val="0070C0"/>
          <w:lang w:val="en-GB"/>
        </w:rPr>
        <w:t>,</w:t>
      </w:r>
      <w:r w:rsidR="00A72BE9">
        <w:rPr>
          <w:i/>
          <w:iCs/>
          <w:color w:val="0070C0"/>
          <w:lang w:val="en-GB"/>
        </w:rPr>
        <w:t xml:space="preserve"> we</w:t>
      </w:r>
      <w:r w:rsidR="001E355A">
        <w:rPr>
          <w:i/>
          <w:iCs/>
          <w:color w:val="0070C0"/>
          <w:lang w:val="en-GB"/>
        </w:rPr>
        <w:t xml:space="preserve"> thus</w:t>
      </w:r>
      <w:r w:rsidR="00A72BE9">
        <w:rPr>
          <w:i/>
          <w:iCs/>
          <w:color w:val="0070C0"/>
          <w:lang w:val="en-GB"/>
        </w:rPr>
        <w:t xml:space="preserve"> prefer </w:t>
      </w:r>
      <w:r w:rsidR="00EC708F" w:rsidRPr="00EC708F">
        <w:rPr>
          <w:i/>
          <w:iCs/>
          <w:color w:val="0070C0"/>
          <w:lang w:val="en-GB"/>
        </w:rPr>
        <w:t>to retain the fixed Mc method, as it also ensures a more consistent number of events in each time</w:t>
      </w:r>
      <w:r w:rsidR="00EC708F">
        <w:rPr>
          <w:i/>
          <w:iCs/>
          <w:color w:val="0070C0"/>
          <w:lang w:val="en-GB"/>
        </w:rPr>
        <w:t xml:space="preserve"> </w:t>
      </w:r>
      <w:r w:rsidR="00B262AA" w:rsidRPr="5BB6DCE0">
        <w:rPr>
          <w:i/>
          <w:iCs/>
          <w:color w:val="0070C0"/>
          <w:lang w:val="en-GB"/>
        </w:rPr>
        <w:t>bin.</w:t>
      </w:r>
      <w:r w:rsidR="00EB6F4F">
        <w:rPr>
          <w:i/>
          <w:iCs/>
          <w:color w:val="0070C0"/>
          <w:lang w:val="en-GB"/>
        </w:rPr>
        <w:t xml:space="preserve"> </w:t>
      </w:r>
      <w:r w:rsidR="005D6AC0">
        <w:rPr>
          <w:i/>
          <w:iCs/>
          <w:color w:val="0070C0"/>
          <w:lang w:val="en-GB"/>
        </w:rPr>
        <w:t xml:space="preserve">In addition to the </w:t>
      </w:r>
      <w:r w:rsidR="00531FE9">
        <w:rPr>
          <w:i/>
          <w:iCs/>
          <w:color w:val="0070C0"/>
          <w:lang w:val="en-GB"/>
        </w:rPr>
        <w:t>new supplementary Figure S4, w</w:t>
      </w:r>
      <w:r w:rsidR="00EB6F4F">
        <w:rPr>
          <w:i/>
          <w:iCs/>
          <w:color w:val="0070C0"/>
          <w:lang w:val="en-GB"/>
        </w:rPr>
        <w:t xml:space="preserve">e have added </w:t>
      </w:r>
      <w:r w:rsidR="00B1477E">
        <w:rPr>
          <w:i/>
          <w:iCs/>
          <w:color w:val="0070C0"/>
          <w:lang w:val="en-GB"/>
        </w:rPr>
        <w:t xml:space="preserve">a comment on </w:t>
      </w:r>
      <w:r w:rsidR="006128B1">
        <w:rPr>
          <w:i/>
          <w:iCs/>
          <w:color w:val="0070C0"/>
          <w:lang w:val="en-GB"/>
        </w:rPr>
        <w:t>completeness variability at lines 21</w:t>
      </w:r>
      <w:r w:rsidR="000C70B4">
        <w:rPr>
          <w:i/>
          <w:iCs/>
          <w:color w:val="0070C0"/>
          <w:lang w:val="en-GB"/>
        </w:rPr>
        <w:t>4-218 of the annotated manuscript.</w:t>
      </w:r>
    </w:p>
    <w:p w14:paraId="32E8EF85" w14:textId="0F6B538F" w:rsidR="00B57276" w:rsidRDefault="00B57276" w:rsidP="00907257">
      <w:pPr>
        <w:jc w:val="both"/>
        <w:rPr>
          <w:b/>
          <w:bCs/>
          <w:i/>
          <w:iCs/>
          <w:color w:val="0070C0"/>
        </w:rPr>
      </w:pPr>
      <w:r w:rsidRPr="00B57276">
        <w:rPr>
          <w:b/>
          <w:bCs/>
          <w:i/>
          <w:iCs/>
          <w:noProof/>
          <w:color w:val="0070C0"/>
        </w:rPr>
        <w:drawing>
          <wp:inline distT="0" distB="0" distL="0" distR="0" wp14:anchorId="2371450E" wp14:editId="5DB4CD3B">
            <wp:extent cx="5730875" cy="3538330"/>
            <wp:effectExtent l="0" t="0" r="0" b="0"/>
            <wp:docPr id="1332872236" name="Picture 1" descr="A group of graphs showing different stages of performance&#10;&#10;AI-generated content may be incorrect.">
              <a:extLst xmlns:a="http://schemas.openxmlformats.org/drawingml/2006/main">
                <a:ext uri="{FF2B5EF4-FFF2-40B4-BE49-F238E27FC236}">
                  <a16:creationId xmlns:a16="http://schemas.microsoft.com/office/drawing/2014/main" id="{DBE26623-4B5A-4307-A90C-F972E1B10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72236" name="Picture 1" descr="A group of graphs showing different stages of performance&#10;&#10;AI-generated content may be incorrect."/>
                    <pic:cNvPicPr/>
                  </pic:nvPicPr>
                  <pic:blipFill rotWithShape="1">
                    <a:blip r:embed="rId6"/>
                    <a:srcRect t="-1153" b="-1401"/>
                    <a:stretch>
                      <a:fillRect/>
                    </a:stretch>
                  </pic:blipFill>
                  <pic:spPr bwMode="auto">
                    <a:xfrm>
                      <a:off x="0" y="0"/>
                      <a:ext cx="5731510" cy="3538722"/>
                    </a:xfrm>
                    <a:prstGeom prst="rect">
                      <a:avLst/>
                    </a:prstGeom>
                    <a:ln>
                      <a:noFill/>
                    </a:ln>
                    <a:extLst>
                      <a:ext uri="{53640926-AAD7-44D8-BBD7-CCE9431645EC}">
                        <a14:shadowObscured xmlns:a14="http://schemas.microsoft.com/office/drawing/2010/main"/>
                      </a:ext>
                    </a:extLst>
                  </pic:spPr>
                </pic:pic>
              </a:graphicData>
            </a:graphic>
          </wp:inline>
        </w:drawing>
      </w:r>
    </w:p>
    <w:p w14:paraId="31563BAE" w14:textId="7A96B457" w:rsidR="00B57276" w:rsidRDefault="00B57276" w:rsidP="5BB6DCE0">
      <w:pPr>
        <w:jc w:val="both"/>
        <w:rPr>
          <w:i/>
          <w:iCs/>
          <w:color w:val="0070C0"/>
          <w:lang w:val="en-GB"/>
        </w:rPr>
      </w:pPr>
      <w:r w:rsidRPr="5BB6DCE0">
        <w:rPr>
          <w:i/>
          <w:iCs/>
          <w:color w:val="0070C0"/>
          <w:lang w:val="en-GB"/>
        </w:rPr>
        <w:t>Figure S</w:t>
      </w:r>
      <w:r w:rsidR="000C70B4">
        <w:rPr>
          <w:i/>
          <w:iCs/>
          <w:color w:val="0070C0"/>
          <w:lang w:val="en-GB"/>
        </w:rPr>
        <w:t>4</w:t>
      </w:r>
      <w:r w:rsidRPr="5BB6DCE0">
        <w:rPr>
          <w:i/>
          <w:iCs/>
          <w:color w:val="0070C0"/>
          <w:lang w:val="en-GB"/>
        </w:rPr>
        <w:t>:</w:t>
      </w:r>
      <w:r w:rsidRPr="5BB6DCE0">
        <w:rPr>
          <w:b/>
          <w:bCs/>
          <w:i/>
          <w:iCs/>
          <w:color w:val="0070C0"/>
          <w:lang w:val="en-GB"/>
        </w:rPr>
        <w:t xml:space="preserve"> </w:t>
      </w:r>
      <w:r w:rsidRPr="5BB6DCE0">
        <w:rPr>
          <w:i/>
          <w:iCs/>
          <w:color w:val="0070C0"/>
          <w:lang w:val="en-GB"/>
        </w:rPr>
        <w:t>Comparison of the temporal evolution</w:t>
      </w:r>
      <w:r w:rsidR="00F86C96" w:rsidRPr="5BB6DCE0">
        <w:rPr>
          <w:i/>
          <w:iCs/>
          <w:color w:val="0070C0"/>
          <w:lang w:val="en-GB"/>
        </w:rPr>
        <w:t xml:space="preserve"> of the b-value with fixed Mc (pastel lines,</w:t>
      </w:r>
      <w:r w:rsidR="006476EE" w:rsidRPr="5BB6DCE0">
        <w:rPr>
          <w:i/>
          <w:iCs/>
          <w:color w:val="0070C0"/>
          <w:lang w:val="en-GB"/>
        </w:rPr>
        <w:t xml:space="preserve"> as in the main </w:t>
      </w:r>
      <w:r w:rsidR="00F519D2">
        <w:rPr>
          <w:i/>
          <w:iCs/>
          <w:color w:val="0070C0"/>
          <w:lang w:val="en-GB"/>
        </w:rPr>
        <w:t>text</w:t>
      </w:r>
      <w:r w:rsidR="006476EE" w:rsidRPr="5BB6DCE0">
        <w:rPr>
          <w:i/>
          <w:iCs/>
          <w:color w:val="0070C0"/>
          <w:lang w:val="en-GB"/>
        </w:rPr>
        <w:t xml:space="preserve">) and variable Mc calculated for each time bin (bright colours). The completeness used in each </w:t>
      </w:r>
      <w:r w:rsidR="00C622F0" w:rsidRPr="5BB6DCE0">
        <w:rPr>
          <w:i/>
          <w:iCs/>
          <w:color w:val="0070C0"/>
          <w:lang w:val="en-GB"/>
        </w:rPr>
        <w:t xml:space="preserve">bin is indicated with the dashed lines. The number of events in the bins </w:t>
      </w:r>
      <w:r w:rsidR="0040228F" w:rsidRPr="5BB6DCE0">
        <w:rPr>
          <w:i/>
          <w:iCs/>
          <w:color w:val="0070C0"/>
          <w:lang w:val="en-GB"/>
        </w:rPr>
        <w:t xml:space="preserve">with variable Mc </w:t>
      </w:r>
      <w:r w:rsidR="00C622F0" w:rsidRPr="5BB6DCE0">
        <w:rPr>
          <w:i/>
          <w:iCs/>
          <w:color w:val="0070C0"/>
          <w:lang w:val="en-GB"/>
        </w:rPr>
        <w:t xml:space="preserve">was </w:t>
      </w:r>
      <w:r w:rsidR="00526887" w:rsidRPr="5BB6DCE0">
        <w:rPr>
          <w:i/>
          <w:iCs/>
          <w:color w:val="0070C0"/>
          <w:lang w:val="en-GB"/>
        </w:rPr>
        <w:t>adjusted to have a similar number of points in time</w:t>
      </w:r>
      <w:r w:rsidR="0040228F" w:rsidRPr="5BB6DCE0">
        <w:rPr>
          <w:i/>
          <w:iCs/>
          <w:color w:val="0070C0"/>
          <w:lang w:val="en-GB"/>
        </w:rPr>
        <w:t xml:space="preserve"> as the results presented in the </w:t>
      </w:r>
      <w:r w:rsidR="00ED5F4E">
        <w:rPr>
          <w:i/>
          <w:iCs/>
          <w:color w:val="0070C0"/>
          <w:lang w:val="en-GB"/>
        </w:rPr>
        <w:t>main text</w:t>
      </w:r>
      <w:r w:rsidR="00CB362C" w:rsidRPr="5BB6DCE0">
        <w:rPr>
          <w:i/>
          <w:iCs/>
          <w:color w:val="0070C0"/>
          <w:lang w:val="en-GB"/>
        </w:rPr>
        <w:t>.</w:t>
      </w:r>
      <w:r w:rsidR="00526887" w:rsidRPr="5BB6DCE0">
        <w:rPr>
          <w:i/>
          <w:iCs/>
          <w:color w:val="0070C0"/>
          <w:lang w:val="en-GB"/>
        </w:rPr>
        <w:t xml:space="preserve"> </w:t>
      </w:r>
    </w:p>
    <w:p w14:paraId="18E0AD51" w14:textId="77777777" w:rsidR="00BB1A0B" w:rsidRPr="00853056" w:rsidRDefault="00BB1A0B" w:rsidP="00907257">
      <w:pPr>
        <w:jc w:val="both"/>
        <w:rPr>
          <w:color w:val="000000"/>
          <w:u w:val="single"/>
        </w:rPr>
      </w:pPr>
      <w:r w:rsidRPr="00853056">
        <w:rPr>
          <w:color w:val="000000"/>
          <w:u w:val="single"/>
        </w:rPr>
        <w:lastRenderedPageBreak/>
        <w:t>Point 3: PCA-based fault plane fitting</w:t>
      </w:r>
    </w:p>
    <w:p w14:paraId="7E65B046" w14:textId="1AF5F752" w:rsidR="00BB1A0B" w:rsidRPr="00BB1A0B" w:rsidRDefault="00BB1A0B" w:rsidP="00907257">
      <w:pPr>
        <w:jc w:val="both"/>
        <w:rPr>
          <w:color w:val="000000"/>
        </w:rPr>
      </w:pPr>
      <w:r w:rsidRPr="00BB1A0B">
        <w:rPr>
          <w:color w:val="000000"/>
        </w:rPr>
        <w:t>Using PCA to fit an ellipsoid and infer a fault plane is a simple and commonly used approach, but it is not always robust and may fail to capture complex structures within seismicity clusters. Recently developed methods that directly extract fault geometry from earthquake catalogs—such as SURF and E2F—could be considered as complementary or alternative approaches:</w:t>
      </w:r>
    </w:p>
    <w:p w14:paraId="1E2861F2" w14:textId="45E91C78" w:rsidR="00BB1A0B" w:rsidRPr="00BB1A0B" w:rsidRDefault="00BB1A0B" w:rsidP="00907257">
      <w:pPr>
        <w:jc w:val="both"/>
        <w:rPr>
          <w:color w:val="000000"/>
        </w:rPr>
      </w:pPr>
      <w:r w:rsidRPr="00BB1A0B">
        <w:rPr>
          <w:color w:val="000000"/>
        </w:rPr>
        <w:t>Travis Alongi, Austin J. Elliott, Robert J. Skoumal, David R. Shelly, Alexandra E. Hatem; SURF: An Automated Method for Building Nonplanar 3D Fault Models from Earthquake Hypocenters. Seismological Research Letters 2025.</w:t>
      </w:r>
    </w:p>
    <w:p w14:paraId="35B9C8CA" w14:textId="0BFFD4EC" w:rsidR="00DD7E57" w:rsidRPr="00CA405A" w:rsidRDefault="00BB1A0B" w:rsidP="00907257">
      <w:pPr>
        <w:jc w:val="both"/>
        <w:rPr>
          <w:color w:val="000000"/>
        </w:rPr>
      </w:pPr>
      <w:proofErr w:type="spellStart"/>
      <w:r w:rsidRPr="00BB1A0B">
        <w:rPr>
          <w:color w:val="000000"/>
        </w:rPr>
        <w:t>Zhengtao</w:t>
      </w:r>
      <w:proofErr w:type="spellEnd"/>
      <w:r w:rsidRPr="00BB1A0B">
        <w:rPr>
          <w:color w:val="000000"/>
        </w:rPr>
        <w:t xml:space="preserve"> He, </w:t>
      </w:r>
      <w:proofErr w:type="spellStart"/>
      <w:r w:rsidRPr="00BB1A0B">
        <w:rPr>
          <w:color w:val="000000"/>
        </w:rPr>
        <w:t>Ruijia</w:t>
      </w:r>
      <w:proofErr w:type="spellEnd"/>
      <w:r w:rsidRPr="00BB1A0B">
        <w:rPr>
          <w:color w:val="000000"/>
        </w:rPr>
        <w:t xml:space="preserve"> Wang; E2F: Extract Fault Geometry from Earthquake Catalogs. Seismological Research Letters 2025; 96 (6): 3880–3890.</w:t>
      </w:r>
    </w:p>
    <w:p w14:paraId="14FDB7CD" w14:textId="77777777" w:rsidR="00461107" w:rsidRDefault="00461107" w:rsidP="5BB6DCE0">
      <w:pPr>
        <w:jc w:val="both"/>
        <w:rPr>
          <w:i/>
          <w:iCs/>
          <w:color w:val="0070C0"/>
          <w:lang w:val="en-GB"/>
        </w:rPr>
      </w:pPr>
      <w:r w:rsidRPr="5BB6DCE0">
        <w:rPr>
          <w:i/>
          <w:iCs/>
          <w:color w:val="0070C0"/>
          <w:lang w:val="en-GB"/>
        </w:rPr>
        <w:t xml:space="preserve">We agree with the reviewer that PCA primarily captures the first-order orientation of the seismicity cloud. Although we recognize state-of-the-art methods like SURF and E2F, our attempts to apply more complex interpretations encountered significant limitations. We ultimately chose a simpler approach to define the aggregate properties of the seismic cloud. While we acknowledge that this results in the loss of some finer-scale details regarding </w:t>
      </w:r>
      <w:proofErr w:type="spellStart"/>
      <w:r w:rsidRPr="5BB6DCE0">
        <w:rPr>
          <w:i/>
          <w:iCs/>
          <w:color w:val="0070C0"/>
          <w:lang w:val="en-GB"/>
        </w:rPr>
        <w:t>hypocenter</w:t>
      </w:r>
      <w:proofErr w:type="spellEnd"/>
      <w:r w:rsidRPr="5BB6DCE0">
        <w:rPr>
          <w:i/>
          <w:iCs/>
          <w:color w:val="0070C0"/>
          <w:lang w:val="en-GB"/>
        </w:rPr>
        <w:t xml:space="preserve"> geometry and fracturing mechanisms, we believe it remains the most robust way to represent the general trends of the data.</w:t>
      </w:r>
    </w:p>
    <w:p w14:paraId="6480F40F" w14:textId="77777777" w:rsidR="00461107" w:rsidRDefault="00461107" w:rsidP="00461107">
      <w:pPr>
        <w:jc w:val="both"/>
        <w:rPr>
          <w:i/>
          <w:color w:val="0070C0"/>
        </w:rPr>
      </w:pPr>
    </w:p>
    <w:p w14:paraId="421FD351" w14:textId="447B7C88" w:rsidR="00461107" w:rsidRDefault="00461107" w:rsidP="5BB6DCE0">
      <w:pPr>
        <w:jc w:val="both"/>
        <w:rPr>
          <w:i/>
          <w:iCs/>
          <w:color w:val="0070C0"/>
          <w:lang w:val="en-GB"/>
        </w:rPr>
      </w:pPr>
      <w:proofErr w:type="gramStart"/>
      <w:r w:rsidRPr="5BB6DCE0">
        <w:rPr>
          <w:i/>
          <w:iCs/>
          <w:color w:val="0070C0"/>
          <w:lang w:val="en-GB"/>
        </w:rPr>
        <w:t>In particular, we</w:t>
      </w:r>
      <w:proofErr w:type="gramEnd"/>
      <w:r w:rsidRPr="5BB6DCE0">
        <w:rPr>
          <w:i/>
          <w:iCs/>
          <w:color w:val="0070C0"/>
          <w:lang w:val="en-GB"/>
        </w:rPr>
        <w:t xml:space="preserve"> made several attempts to apply the DBSCAN algorithm to the </w:t>
      </w:r>
      <w:proofErr w:type="spellStart"/>
      <w:r w:rsidRPr="5BB6DCE0">
        <w:rPr>
          <w:i/>
          <w:iCs/>
          <w:color w:val="0070C0"/>
          <w:lang w:val="en-GB"/>
        </w:rPr>
        <w:t>hypocenters</w:t>
      </w:r>
      <w:proofErr w:type="spellEnd"/>
      <w:r w:rsidRPr="5BB6DCE0">
        <w:rPr>
          <w:i/>
          <w:iCs/>
          <w:color w:val="0070C0"/>
          <w:lang w:val="en-GB"/>
        </w:rPr>
        <w:t xml:space="preserve"> but found it to be highly unstable, as shown </w:t>
      </w:r>
      <w:r w:rsidR="00C4003F">
        <w:rPr>
          <w:i/>
          <w:iCs/>
          <w:color w:val="0070C0"/>
          <w:lang w:val="en-GB"/>
        </w:rPr>
        <w:t>below</w:t>
      </w:r>
      <w:r w:rsidRPr="5BB6DCE0">
        <w:rPr>
          <w:i/>
          <w:iCs/>
          <w:color w:val="0070C0"/>
          <w:lang w:val="en-GB"/>
        </w:rPr>
        <w:t xml:space="preserve"> in Figures </w:t>
      </w:r>
      <w:r w:rsidR="00506064">
        <w:rPr>
          <w:i/>
          <w:iCs/>
          <w:color w:val="0070C0"/>
          <w:lang w:val="en-GB"/>
        </w:rPr>
        <w:t>R1</w:t>
      </w:r>
      <w:r w:rsidRPr="5BB6DCE0">
        <w:rPr>
          <w:i/>
          <w:iCs/>
          <w:color w:val="0070C0"/>
          <w:lang w:val="en-GB"/>
        </w:rPr>
        <w:t xml:space="preserve"> and </w:t>
      </w:r>
      <w:r w:rsidR="00506064">
        <w:rPr>
          <w:i/>
          <w:iCs/>
          <w:color w:val="0070C0"/>
          <w:lang w:val="en-GB"/>
        </w:rPr>
        <w:t>R</w:t>
      </w:r>
      <w:r w:rsidRPr="5BB6DCE0">
        <w:rPr>
          <w:i/>
          <w:iCs/>
          <w:color w:val="0070C0"/>
          <w:lang w:val="en-GB"/>
        </w:rPr>
        <w:t>2. We explored the stability of cluster detection as a function of the two primary DBSCAN parameters: the minimum number of points per cluster (</w:t>
      </w:r>
      <w:proofErr w:type="spellStart"/>
      <w:r w:rsidRPr="5BB6DCE0">
        <w:rPr>
          <w:i/>
          <w:iCs/>
          <w:color w:val="0070C0"/>
          <w:lang w:val="en-GB"/>
        </w:rPr>
        <w:t>N</w:t>
      </w:r>
      <w:r w:rsidR="00023E41">
        <w:rPr>
          <w:i/>
          <w:iCs/>
          <w:color w:val="0070C0"/>
          <w:lang w:val="en-GB"/>
        </w:rPr>
        <w:t>min</w:t>
      </w:r>
      <w:proofErr w:type="spellEnd"/>
      <w:r w:rsidR="00023E41">
        <w:rPr>
          <w:i/>
          <w:iCs/>
          <w:color w:val="0070C0"/>
          <w:lang w:val="en-GB"/>
        </w:rPr>
        <w:t>)</w:t>
      </w:r>
      <w:r w:rsidRPr="5BB6DCE0">
        <w:rPr>
          <w:i/>
          <w:iCs/>
          <w:color w:val="0070C0"/>
          <w:lang w:val="en-GB"/>
        </w:rPr>
        <w:t xml:space="preserve"> and the </w:t>
      </w:r>
      <w:proofErr w:type="spellStart"/>
      <w:r w:rsidRPr="5BB6DCE0">
        <w:rPr>
          <w:i/>
          <w:iCs/>
          <w:color w:val="0070C0"/>
          <w:lang w:val="en-GB"/>
        </w:rPr>
        <w:t>neighborhood</w:t>
      </w:r>
      <w:proofErr w:type="spellEnd"/>
      <w:r w:rsidRPr="5BB6DCE0">
        <w:rPr>
          <w:i/>
          <w:iCs/>
          <w:color w:val="0070C0"/>
          <w:lang w:val="en-GB"/>
        </w:rPr>
        <w:t xml:space="preserve"> distance (epsilon or Eps). Although the algorithm identifies distinct clusters for Eps = 10</w:t>
      </w:r>
      <w:r w:rsidR="007772CD">
        <w:rPr>
          <w:i/>
          <w:iCs/>
          <w:color w:val="0070C0"/>
          <w:lang w:val="en-GB"/>
        </w:rPr>
        <w:t>m</w:t>
      </w:r>
      <w:r w:rsidRPr="5BB6DCE0">
        <w:rPr>
          <w:i/>
          <w:iCs/>
          <w:color w:val="0070C0"/>
          <w:lang w:val="en-GB"/>
        </w:rPr>
        <w:t xml:space="preserve"> (Fig. </w:t>
      </w:r>
      <w:r w:rsidR="007B0C90">
        <w:rPr>
          <w:i/>
          <w:iCs/>
          <w:color w:val="0070C0"/>
          <w:lang w:val="en-GB"/>
        </w:rPr>
        <w:t>R</w:t>
      </w:r>
      <w:r w:rsidRPr="5BB6DCE0">
        <w:rPr>
          <w:i/>
          <w:iCs/>
          <w:color w:val="0070C0"/>
          <w:lang w:val="en-GB"/>
        </w:rPr>
        <w:t xml:space="preserve">1a–c), increasing the search radius causes the number of identified clusters to drop to just one or two large groups, regardless of the </w:t>
      </w:r>
      <w:proofErr w:type="spellStart"/>
      <w:r w:rsidR="007772CD" w:rsidRPr="5BB6DCE0">
        <w:rPr>
          <w:i/>
          <w:iCs/>
          <w:color w:val="0070C0"/>
          <w:lang w:val="en-GB"/>
        </w:rPr>
        <w:t>N</w:t>
      </w:r>
      <w:r w:rsidR="007772CD">
        <w:rPr>
          <w:i/>
          <w:iCs/>
          <w:color w:val="0070C0"/>
          <w:lang w:val="en-GB"/>
        </w:rPr>
        <w:t>min</w:t>
      </w:r>
      <w:proofErr w:type="spellEnd"/>
      <w:r w:rsidRPr="5BB6DCE0">
        <w:rPr>
          <w:i/>
          <w:iCs/>
          <w:color w:val="0070C0"/>
          <w:lang w:val="en-GB"/>
        </w:rPr>
        <w:t xml:space="preserve"> value selected (Fig. </w:t>
      </w:r>
      <w:r w:rsidR="008651A6">
        <w:rPr>
          <w:i/>
          <w:iCs/>
          <w:color w:val="0070C0"/>
          <w:lang w:val="en-GB"/>
        </w:rPr>
        <w:t>R</w:t>
      </w:r>
      <w:r w:rsidRPr="5BB6DCE0">
        <w:rPr>
          <w:i/>
          <w:iCs/>
          <w:color w:val="0070C0"/>
          <w:lang w:val="en-GB"/>
        </w:rPr>
        <w:t>2).Because the results were unstable and heavily dependent on the subjective choices of the operator, we decided to fit a single geometry via PCA rather than sub</w:t>
      </w:r>
      <w:r w:rsidR="00D57328">
        <w:rPr>
          <w:i/>
          <w:iCs/>
          <w:color w:val="0070C0"/>
          <w:lang w:val="en-GB"/>
        </w:rPr>
        <w:t>dividing</w:t>
      </w:r>
      <w:r w:rsidRPr="5BB6DCE0">
        <w:rPr>
          <w:i/>
          <w:iCs/>
          <w:color w:val="0070C0"/>
          <w:lang w:val="en-GB"/>
        </w:rPr>
        <w:t xml:space="preserve"> the data into clusters first. The </w:t>
      </w:r>
      <w:proofErr w:type="spellStart"/>
      <w:r w:rsidRPr="5BB6DCE0">
        <w:rPr>
          <w:i/>
          <w:iCs/>
          <w:color w:val="0070C0"/>
          <w:lang w:val="en-GB"/>
        </w:rPr>
        <w:t>hypocenters</w:t>
      </w:r>
      <w:proofErr w:type="spellEnd"/>
      <w:r w:rsidRPr="5BB6DCE0">
        <w:rPr>
          <w:i/>
          <w:iCs/>
          <w:color w:val="0070C0"/>
          <w:lang w:val="en-GB"/>
        </w:rPr>
        <w:t xml:space="preserve"> are so tightly clustered in space and time that grouping them into stable subsets for meaningful physical interpretation proved difficult. We also tested alternative metrics, such as the spatiotemporal approach of Davis and Frohlich (1991) (as used in Passarelli et al., 2025, SRL) and hierarchical </w:t>
      </w:r>
      <w:proofErr w:type="gramStart"/>
      <w:r w:rsidRPr="5BB6DCE0">
        <w:rPr>
          <w:i/>
          <w:iCs/>
          <w:color w:val="0070C0"/>
          <w:lang w:val="en-GB"/>
        </w:rPr>
        <w:t>clustering, but</w:t>
      </w:r>
      <w:proofErr w:type="gramEnd"/>
      <w:r w:rsidRPr="5BB6DCE0">
        <w:rPr>
          <w:i/>
          <w:iCs/>
          <w:color w:val="0070C0"/>
          <w:lang w:val="en-GB"/>
        </w:rPr>
        <w:t xml:space="preserve"> encountered the same stability issues.</w:t>
      </w:r>
    </w:p>
    <w:p w14:paraId="59FAAB88" w14:textId="77777777" w:rsidR="00461107" w:rsidRDefault="00461107" w:rsidP="00461107">
      <w:pPr>
        <w:jc w:val="both"/>
        <w:rPr>
          <w:i/>
          <w:color w:val="0070C0"/>
        </w:rPr>
      </w:pPr>
    </w:p>
    <w:p w14:paraId="009369D6" w14:textId="77777777" w:rsidR="00461107" w:rsidRDefault="00461107" w:rsidP="5BB6DCE0">
      <w:pPr>
        <w:jc w:val="both"/>
        <w:rPr>
          <w:i/>
          <w:iCs/>
          <w:color w:val="0070C0"/>
          <w:lang w:val="en-GB"/>
        </w:rPr>
      </w:pPr>
      <w:r w:rsidRPr="5BB6DCE0">
        <w:rPr>
          <w:i/>
          <w:iCs/>
          <w:color w:val="0070C0"/>
          <w:lang w:val="en-GB"/>
        </w:rPr>
        <w:t>The recently published algorithms SURF and E2F, depend heavily on DBSCAN for clustering results, as well as on various other parameters. As we have demonstrated the instability of the DBSCAN outputs in this context, we prefer to maintain our current approach and focus on average, large-scale properties rather than embarking on a difficult interpretation of finer-scale features. Furthermore, even at a large scale, seismicity alone is not sufficient to definitively identify the driving mechanisms behind its spatiotemporal evolution; consequently, smaller features would be even more challenging to interpret reliably.</w:t>
      </w:r>
    </w:p>
    <w:p w14:paraId="324FD9A9" w14:textId="77777777" w:rsidR="00461107" w:rsidRDefault="00461107" w:rsidP="00461107">
      <w:pPr>
        <w:jc w:val="both"/>
        <w:rPr>
          <w:i/>
          <w:color w:val="0070C0"/>
        </w:rPr>
      </w:pPr>
    </w:p>
    <w:p w14:paraId="3C5DF499" w14:textId="03E7DB45" w:rsidR="00461107" w:rsidRDefault="00461107" w:rsidP="5BB6DCE0">
      <w:pPr>
        <w:jc w:val="both"/>
        <w:rPr>
          <w:color w:val="000000"/>
          <w:lang w:val="en-GB"/>
        </w:rPr>
      </w:pPr>
      <w:r>
        <w:rPr>
          <w:noProof/>
        </w:rPr>
        <w:lastRenderedPageBreak/>
        <w:drawing>
          <wp:inline distT="0" distB="0" distL="0" distR="0" wp14:anchorId="7C895476" wp14:editId="324471E7">
            <wp:extent cx="5731510" cy="3223895"/>
            <wp:effectExtent l="0" t="0" r="0" b="1905"/>
            <wp:docPr id="575781036" name="Picture 1" descr="A graph showing different colors of different colors&#10;&#10;AI-generated content may be incorrect.">
              <a:extLst xmlns:a="http://schemas.openxmlformats.org/drawingml/2006/main">
                <a:ext uri="{FF2B5EF4-FFF2-40B4-BE49-F238E27FC236}">
                  <a16:creationId xmlns:a16="http://schemas.microsoft.com/office/drawing/2014/main" id="{2148C41D-9B05-4741-A1EE-D188A57BA5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81036" name="Picture 1" descr="A graph showing different colors of different color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br/>
      </w:r>
      <w:r>
        <w:br/>
      </w:r>
      <w:r w:rsidRPr="5BB6DCE0">
        <w:rPr>
          <w:i/>
          <w:iCs/>
          <w:color w:val="0070C0"/>
          <w:lang w:val="en-GB"/>
        </w:rPr>
        <w:t>Fig</w:t>
      </w:r>
      <w:r w:rsidR="00D01188">
        <w:rPr>
          <w:i/>
          <w:iCs/>
          <w:color w:val="0070C0"/>
          <w:lang w:val="en-GB"/>
        </w:rPr>
        <w:t>ure R</w:t>
      </w:r>
      <w:r w:rsidRPr="5BB6DCE0">
        <w:rPr>
          <w:i/>
          <w:iCs/>
          <w:color w:val="0070C0"/>
          <w:lang w:val="en-GB"/>
        </w:rPr>
        <w:t>1</w:t>
      </w:r>
      <w:r w:rsidR="00D01188">
        <w:rPr>
          <w:i/>
          <w:iCs/>
          <w:color w:val="0070C0"/>
          <w:lang w:val="en-GB"/>
        </w:rPr>
        <w:t>:</w:t>
      </w:r>
      <w:r w:rsidRPr="5BB6DCE0">
        <w:rPr>
          <w:i/>
          <w:iCs/>
          <w:color w:val="0070C0"/>
          <w:lang w:val="en-GB"/>
        </w:rPr>
        <w:t xml:space="preserve"> 3D plot of </w:t>
      </w:r>
      <w:proofErr w:type="spellStart"/>
      <w:r w:rsidRPr="5BB6DCE0">
        <w:rPr>
          <w:i/>
          <w:iCs/>
          <w:color w:val="0070C0"/>
          <w:lang w:val="en-GB"/>
        </w:rPr>
        <w:t>hypocenters</w:t>
      </w:r>
      <w:proofErr w:type="spellEnd"/>
      <w:r w:rsidRPr="5BB6DCE0">
        <w:rPr>
          <w:i/>
          <w:iCs/>
          <w:color w:val="0070C0"/>
          <w:lang w:val="en-GB"/>
        </w:rPr>
        <w:t xml:space="preserve"> color-coded as results of the application of DBS</w:t>
      </w:r>
      <w:r w:rsidR="003E0AA5">
        <w:rPr>
          <w:i/>
          <w:iCs/>
          <w:color w:val="0070C0"/>
          <w:lang w:val="en-GB"/>
        </w:rPr>
        <w:t>CAN</w:t>
      </w:r>
      <w:r w:rsidRPr="5BB6DCE0">
        <w:rPr>
          <w:i/>
          <w:iCs/>
          <w:color w:val="0070C0"/>
          <w:lang w:val="en-GB"/>
        </w:rPr>
        <w:t xml:space="preserve"> algorithm using Euclidean distance as metrics for different values of </w:t>
      </w:r>
      <w:proofErr w:type="spellStart"/>
      <w:r w:rsidRPr="5BB6DCE0">
        <w:rPr>
          <w:i/>
          <w:iCs/>
          <w:color w:val="0070C0"/>
          <w:lang w:val="en-GB"/>
        </w:rPr>
        <w:t>Nmin</w:t>
      </w:r>
      <w:proofErr w:type="spellEnd"/>
      <w:r w:rsidRPr="5BB6DCE0">
        <w:rPr>
          <w:i/>
          <w:iCs/>
          <w:color w:val="0070C0"/>
          <w:lang w:val="en-GB"/>
        </w:rPr>
        <w:t xml:space="preserve"> (Nev) and Eps as reported in the title of each pan</w:t>
      </w:r>
      <w:r w:rsidR="00E41999">
        <w:rPr>
          <w:i/>
          <w:iCs/>
          <w:color w:val="0070C0"/>
          <w:lang w:val="en-GB"/>
        </w:rPr>
        <w:t>el</w:t>
      </w:r>
      <w:r w:rsidRPr="5BB6DCE0">
        <w:rPr>
          <w:i/>
          <w:iCs/>
          <w:color w:val="0070C0"/>
          <w:lang w:val="en-GB"/>
        </w:rPr>
        <w:t xml:space="preserve">. Panels a) and d) refers to </w:t>
      </w:r>
      <w:proofErr w:type="spellStart"/>
      <w:r w:rsidRPr="5BB6DCE0">
        <w:rPr>
          <w:i/>
          <w:iCs/>
          <w:color w:val="0070C0"/>
          <w:lang w:val="en-GB"/>
        </w:rPr>
        <w:t>Nmin</w:t>
      </w:r>
      <w:proofErr w:type="spellEnd"/>
      <w:r w:rsidRPr="5BB6DCE0">
        <w:rPr>
          <w:i/>
          <w:iCs/>
          <w:color w:val="0070C0"/>
          <w:lang w:val="en-GB"/>
        </w:rPr>
        <w:t xml:space="preserve">=10 events and Eps=10m, 20m. Panels b) and d) are </w:t>
      </w:r>
      <w:proofErr w:type="spellStart"/>
      <w:r w:rsidRPr="5BB6DCE0">
        <w:rPr>
          <w:i/>
          <w:iCs/>
          <w:color w:val="0070C0"/>
          <w:lang w:val="en-GB"/>
        </w:rPr>
        <w:t>Nmin</w:t>
      </w:r>
      <w:proofErr w:type="spellEnd"/>
      <w:r w:rsidRPr="5BB6DCE0">
        <w:rPr>
          <w:i/>
          <w:iCs/>
          <w:color w:val="0070C0"/>
          <w:lang w:val="en-GB"/>
        </w:rPr>
        <w:t xml:space="preserve"> = 50 and Eps =10m, 20m. Panels c) and f) are </w:t>
      </w:r>
      <w:proofErr w:type="spellStart"/>
      <w:r w:rsidRPr="5BB6DCE0">
        <w:rPr>
          <w:i/>
          <w:iCs/>
          <w:color w:val="0070C0"/>
          <w:lang w:val="en-GB"/>
        </w:rPr>
        <w:t>Nmin</w:t>
      </w:r>
      <w:proofErr w:type="spellEnd"/>
      <w:r w:rsidRPr="5BB6DCE0">
        <w:rPr>
          <w:i/>
          <w:iCs/>
          <w:color w:val="0070C0"/>
          <w:lang w:val="en-GB"/>
        </w:rPr>
        <w:t xml:space="preserve"> = 100 and Eps = 10m,20m. Crosses are </w:t>
      </w:r>
      <w:proofErr w:type="spellStart"/>
      <w:r w:rsidRPr="5BB6DCE0">
        <w:rPr>
          <w:i/>
          <w:iCs/>
          <w:color w:val="0070C0"/>
          <w:lang w:val="en-GB"/>
        </w:rPr>
        <w:t>non clustered</w:t>
      </w:r>
      <w:proofErr w:type="spellEnd"/>
      <w:r w:rsidRPr="5BB6DCE0">
        <w:rPr>
          <w:i/>
          <w:iCs/>
          <w:color w:val="0070C0"/>
          <w:lang w:val="en-GB"/>
        </w:rPr>
        <w:t xml:space="preserve"> earthquakes.</w:t>
      </w:r>
    </w:p>
    <w:p w14:paraId="7B7D6C81" w14:textId="77777777" w:rsidR="00461107" w:rsidRDefault="00461107" w:rsidP="00461107">
      <w:pPr>
        <w:jc w:val="both"/>
        <w:rPr>
          <w:color w:val="000000"/>
        </w:rPr>
      </w:pPr>
    </w:p>
    <w:p w14:paraId="15B88E12" w14:textId="77777777" w:rsidR="00461107" w:rsidRDefault="00461107" w:rsidP="00461107">
      <w:pPr>
        <w:jc w:val="both"/>
        <w:rPr>
          <w:color w:val="000000"/>
        </w:rPr>
      </w:pPr>
      <w:r>
        <w:rPr>
          <w:noProof/>
          <w:color w:val="000000"/>
        </w:rPr>
        <w:drawing>
          <wp:inline distT="0" distB="0" distL="0" distR="0" wp14:anchorId="5B2B3E18" wp14:editId="24FA00BA">
            <wp:extent cx="6001233" cy="1590887"/>
            <wp:effectExtent l="0" t="0" r="0" b="0"/>
            <wp:docPr id="1549337070" name="Picture 2">
              <a:extLst xmlns:a="http://schemas.openxmlformats.org/drawingml/2006/main">
                <a:ext uri="{FF2B5EF4-FFF2-40B4-BE49-F238E27FC236}">
                  <a16:creationId xmlns:a16="http://schemas.microsoft.com/office/drawing/2014/main" id="{34A3F4F2-6152-4B90-B590-9B0FBADD8D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37070" name="Picture 2"/>
                    <pic:cNvPicPr/>
                  </pic:nvPicPr>
                  <pic:blipFill rotWithShape="1">
                    <a:blip r:embed="rId8">
                      <a:extLst>
                        <a:ext uri="{28A0092B-C50C-407E-A947-70E740481C1C}">
                          <a14:useLocalDpi xmlns:a14="http://schemas.microsoft.com/office/drawing/2010/main"/>
                        </a:ext>
                      </a:extLst>
                    </a:blip>
                    <a:srcRect/>
                    <a:stretch>
                      <a:fillRect/>
                    </a:stretch>
                  </pic:blipFill>
                  <pic:spPr bwMode="auto">
                    <a:xfrm>
                      <a:off x="0" y="0"/>
                      <a:ext cx="6069399" cy="1608957"/>
                    </a:xfrm>
                    <a:prstGeom prst="rect">
                      <a:avLst/>
                    </a:prstGeom>
                    <a:ln>
                      <a:noFill/>
                    </a:ln>
                    <a:extLst>
                      <a:ext uri="{53640926-AAD7-44D8-BBD7-CCE9431645EC}">
                        <a14:shadowObscured xmlns:a14="http://schemas.microsoft.com/office/drawing/2010/main"/>
                      </a:ext>
                    </a:extLst>
                  </pic:spPr>
                </pic:pic>
              </a:graphicData>
            </a:graphic>
          </wp:inline>
        </w:drawing>
      </w:r>
    </w:p>
    <w:p w14:paraId="642F1018" w14:textId="3BE9E68C" w:rsidR="00461107" w:rsidRPr="00F40CCD" w:rsidRDefault="00461107" w:rsidP="5BB6DCE0">
      <w:pPr>
        <w:jc w:val="both"/>
        <w:rPr>
          <w:i/>
          <w:iCs/>
          <w:color w:val="0070C0"/>
          <w:lang w:val="en-GB"/>
        </w:rPr>
      </w:pPr>
      <w:r w:rsidRPr="5BB6DCE0">
        <w:rPr>
          <w:i/>
          <w:iCs/>
          <w:color w:val="0070C0"/>
          <w:lang w:val="en-GB"/>
        </w:rPr>
        <w:t>Fig</w:t>
      </w:r>
      <w:r w:rsidR="007772CD">
        <w:rPr>
          <w:i/>
          <w:iCs/>
          <w:color w:val="0070C0"/>
          <w:lang w:val="en-GB"/>
        </w:rPr>
        <w:t>ure</w:t>
      </w:r>
      <w:r w:rsidRPr="5BB6DCE0">
        <w:rPr>
          <w:i/>
          <w:iCs/>
          <w:color w:val="0070C0"/>
          <w:lang w:val="en-GB"/>
        </w:rPr>
        <w:t xml:space="preserve"> </w:t>
      </w:r>
      <w:r w:rsidR="00F94614">
        <w:rPr>
          <w:i/>
          <w:iCs/>
          <w:color w:val="0070C0"/>
          <w:lang w:val="en-GB"/>
        </w:rPr>
        <w:t>R</w:t>
      </w:r>
      <w:r w:rsidRPr="5BB6DCE0">
        <w:rPr>
          <w:i/>
          <w:iCs/>
          <w:color w:val="0070C0"/>
          <w:lang w:val="en-GB"/>
        </w:rPr>
        <w:t>2: Number of identified clusters by DBS</w:t>
      </w:r>
      <w:r w:rsidR="00023E41">
        <w:rPr>
          <w:i/>
          <w:iCs/>
          <w:color w:val="0070C0"/>
          <w:lang w:val="en-GB"/>
        </w:rPr>
        <w:t>CAN</w:t>
      </w:r>
      <w:r w:rsidRPr="5BB6DCE0">
        <w:rPr>
          <w:i/>
          <w:iCs/>
          <w:color w:val="0070C0"/>
          <w:lang w:val="en-GB"/>
        </w:rPr>
        <w:t xml:space="preserve"> vs Eps, radius and varying </w:t>
      </w:r>
      <w:proofErr w:type="spellStart"/>
      <w:r w:rsidRPr="5BB6DCE0">
        <w:rPr>
          <w:i/>
          <w:iCs/>
          <w:color w:val="0070C0"/>
          <w:lang w:val="en-GB"/>
        </w:rPr>
        <w:t>Nmin</w:t>
      </w:r>
      <w:proofErr w:type="spellEnd"/>
      <w:r w:rsidRPr="5BB6DCE0">
        <w:rPr>
          <w:i/>
          <w:iCs/>
          <w:color w:val="0070C0"/>
          <w:lang w:val="en-GB"/>
        </w:rPr>
        <w:t xml:space="preserve"> = 10 (left panel), </w:t>
      </w:r>
      <w:proofErr w:type="spellStart"/>
      <w:r w:rsidRPr="5BB6DCE0">
        <w:rPr>
          <w:i/>
          <w:iCs/>
          <w:color w:val="0070C0"/>
          <w:lang w:val="en-GB"/>
        </w:rPr>
        <w:t>Nmin</w:t>
      </w:r>
      <w:proofErr w:type="spellEnd"/>
      <w:r w:rsidRPr="5BB6DCE0">
        <w:rPr>
          <w:i/>
          <w:iCs/>
          <w:color w:val="0070C0"/>
          <w:lang w:val="en-GB"/>
        </w:rPr>
        <w:t xml:space="preserve"> = 50 (middle panel) and </w:t>
      </w:r>
      <w:proofErr w:type="spellStart"/>
      <w:r w:rsidRPr="5BB6DCE0">
        <w:rPr>
          <w:i/>
          <w:iCs/>
          <w:color w:val="0070C0"/>
          <w:lang w:val="en-GB"/>
        </w:rPr>
        <w:t>Nmin</w:t>
      </w:r>
      <w:proofErr w:type="spellEnd"/>
      <w:r w:rsidRPr="5BB6DCE0">
        <w:rPr>
          <w:i/>
          <w:iCs/>
          <w:color w:val="0070C0"/>
          <w:lang w:val="en-GB"/>
        </w:rPr>
        <w:t xml:space="preserve">=100 (right panel). Eps </w:t>
      </w:r>
      <w:proofErr w:type="gramStart"/>
      <w:r w:rsidRPr="5BB6DCE0">
        <w:rPr>
          <w:i/>
          <w:iCs/>
          <w:color w:val="0070C0"/>
          <w:lang w:val="en-GB"/>
        </w:rPr>
        <w:t>ranges</w:t>
      </w:r>
      <w:proofErr w:type="gramEnd"/>
      <w:r w:rsidRPr="5BB6DCE0">
        <w:rPr>
          <w:i/>
          <w:iCs/>
          <w:color w:val="0070C0"/>
          <w:lang w:val="en-GB"/>
        </w:rPr>
        <w:t xml:space="preserve"> from 10m to 100m. As the search radius Eps becomes larger tha</w:t>
      </w:r>
      <w:r w:rsidR="009F40F7">
        <w:rPr>
          <w:i/>
          <w:iCs/>
          <w:color w:val="0070C0"/>
          <w:lang w:val="en-GB"/>
        </w:rPr>
        <w:t>n</w:t>
      </w:r>
      <w:r w:rsidRPr="5BB6DCE0">
        <w:rPr>
          <w:i/>
          <w:iCs/>
          <w:color w:val="0070C0"/>
          <w:lang w:val="en-GB"/>
        </w:rPr>
        <w:t xml:space="preserve"> 10m 20m the algorithm </w:t>
      </w:r>
      <w:proofErr w:type="gramStart"/>
      <w:r w:rsidRPr="5BB6DCE0">
        <w:rPr>
          <w:i/>
          <w:iCs/>
          <w:color w:val="0070C0"/>
          <w:lang w:val="en-GB"/>
        </w:rPr>
        <w:t>is able to</w:t>
      </w:r>
      <w:proofErr w:type="gramEnd"/>
      <w:r w:rsidRPr="5BB6DCE0">
        <w:rPr>
          <w:i/>
          <w:iCs/>
          <w:color w:val="0070C0"/>
          <w:lang w:val="en-GB"/>
        </w:rPr>
        <w:t xml:space="preserve"> identify only 1 big cluster. </w:t>
      </w:r>
    </w:p>
    <w:p w14:paraId="765F45D7" w14:textId="77777777" w:rsidR="00907257" w:rsidRPr="00461107" w:rsidRDefault="00907257" w:rsidP="00907257">
      <w:pPr>
        <w:jc w:val="both"/>
        <w:rPr>
          <w:i/>
          <w:color w:val="0070C0"/>
        </w:rPr>
      </w:pPr>
    </w:p>
    <w:p w14:paraId="1F7B9400" w14:textId="77777777" w:rsidR="00BB1A0B" w:rsidRPr="00853056" w:rsidRDefault="00BB1A0B" w:rsidP="00907257">
      <w:pPr>
        <w:jc w:val="both"/>
        <w:rPr>
          <w:color w:val="000000"/>
          <w:u w:val="single"/>
        </w:rPr>
      </w:pPr>
      <w:r w:rsidRPr="00853056">
        <w:rPr>
          <w:color w:val="000000"/>
          <w:u w:val="single"/>
        </w:rPr>
        <w:t>Point 4: Fitting and interpretation of the three fracturing mechanisms models</w:t>
      </w:r>
    </w:p>
    <w:p w14:paraId="62E97A06" w14:textId="77777777" w:rsidR="00BB1A0B" w:rsidRPr="00BB1A0B" w:rsidRDefault="00BB1A0B" w:rsidP="00907257">
      <w:pPr>
        <w:jc w:val="both"/>
        <w:rPr>
          <w:color w:val="000000"/>
        </w:rPr>
      </w:pPr>
      <w:r w:rsidRPr="00BB1A0B">
        <w:rPr>
          <w:color w:val="000000"/>
        </w:rPr>
        <w:t>Although the authors clearly state that their analysis does not lead to a unique conclusion, I remain cautious about the statement that the “However, the analysis of the time-distance evolution of the seismicity seems to indicate that the penny-shaped model is the best model during the injection phase.” in lines 505-506. There are two reasons:</w:t>
      </w:r>
    </w:p>
    <w:p w14:paraId="31FB1099" w14:textId="77777777" w:rsidR="00BB1A0B" w:rsidRPr="00BB1A0B" w:rsidRDefault="00BB1A0B" w:rsidP="00907257">
      <w:pPr>
        <w:jc w:val="both"/>
        <w:rPr>
          <w:color w:val="000000"/>
        </w:rPr>
      </w:pPr>
      <w:r w:rsidRPr="00BB1A0B">
        <w:rPr>
          <w:color w:val="000000"/>
        </w:rPr>
        <w:t>The reported location uncertainty is approximately 40 m, while the maximum distance from the check-shot point is on the order of ~200 m. At this scale, location uncertainty could significantly affect model fitting results, especially given the very small difference in R² values between the diffusion model and the penny-shaped crack model.</w:t>
      </w:r>
    </w:p>
    <w:p w14:paraId="4F56E4F0" w14:textId="6C880CDC" w:rsidR="00DD7E57" w:rsidRPr="00F81D8D" w:rsidRDefault="00BB1A0B" w:rsidP="00907257">
      <w:pPr>
        <w:jc w:val="both"/>
        <w:rPr>
          <w:color w:val="000000"/>
          <w:lang w:val="en-GB"/>
        </w:rPr>
      </w:pPr>
      <w:r w:rsidRPr="3CC9D878">
        <w:rPr>
          <w:color w:val="000000" w:themeColor="text1"/>
          <w:lang w:val="en-GB"/>
        </w:rPr>
        <w:t xml:space="preserve">Although the diffusion model performs poorly in fitting the seismicity </w:t>
      </w:r>
      <w:proofErr w:type="gramStart"/>
      <w:r w:rsidRPr="3CC9D878">
        <w:rPr>
          <w:color w:val="000000" w:themeColor="text1"/>
          <w:lang w:val="en-GB"/>
        </w:rPr>
        <w:t>back-front</w:t>
      </w:r>
      <w:proofErr w:type="gramEnd"/>
      <w:r w:rsidRPr="3CC9D878">
        <w:rPr>
          <w:color w:val="000000" w:themeColor="text1"/>
          <w:lang w:val="en-GB"/>
        </w:rPr>
        <w:t xml:space="preserve">, this may also reflect the complexity of the hydraulic fracturing environment rather than an inherent </w:t>
      </w:r>
      <w:r w:rsidRPr="3CC9D878">
        <w:rPr>
          <w:color w:val="000000" w:themeColor="text1"/>
          <w:lang w:val="en-GB"/>
        </w:rPr>
        <w:lastRenderedPageBreak/>
        <w:t>inadequacy of the model. In addition, the seismicity clearly propagates in more than one direction. If directional dependence were explicitly accounted for, would the relative model performance change?</w:t>
      </w:r>
    </w:p>
    <w:p w14:paraId="27FEE2AB" w14:textId="2EA4B438" w:rsidR="00651AE1" w:rsidRDefault="00651AE1" w:rsidP="00651AE1">
      <w:pPr>
        <w:jc w:val="both"/>
        <w:rPr>
          <w:i/>
          <w:color w:val="0070C0"/>
        </w:rPr>
      </w:pPr>
      <w:r>
        <w:rPr>
          <w:i/>
          <w:color w:val="0070C0"/>
        </w:rPr>
        <w:t>We have rephrased the sentences as suggested by the reviewer</w:t>
      </w:r>
      <w:r w:rsidR="00F90E4F">
        <w:rPr>
          <w:i/>
          <w:color w:val="0070C0"/>
        </w:rPr>
        <w:t xml:space="preserve"> (Line 50</w:t>
      </w:r>
      <w:r w:rsidR="00160174">
        <w:rPr>
          <w:i/>
          <w:color w:val="0070C0"/>
        </w:rPr>
        <w:t>6</w:t>
      </w:r>
      <w:r w:rsidR="00F90E4F">
        <w:rPr>
          <w:i/>
          <w:color w:val="0070C0"/>
        </w:rPr>
        <w:t>-</w:t>
      </w:r>
      <w:r w:rsidR="00254E9E">
        <w:rPr>
          <w:i/>
          <w:color w:val="0070C0"/>
        </w:rPr>
        <w:t>50</w:t>
      </w:r>
      <w:r w:rsidR="00160174">
        <w:rPr>
          <w:i/>
          <w:color w:val="0070C0"/>
        </w:rPr>
        <w:t>8</w:t>
      </w:r>
      <w:r w:rsidR="00254E9E">
        <w:rPr>
          <w:i/>
          <w:color w:val="0070C0"/>
        </w:rPr>
        <w:t xml:space="preserve"> of the annotated manuscript)</w:t>
      </w:r>
      <w:r>
        <w:rPr>
          <w:i/>
          <w:color w:val="0070C0"/>
        </w:rPr>
        <w:t xml:space="preserve">: </w:t>
      </w:r>
      <w:r w:rsidR="00625891">
        <w:rPr>
          <w:i/>
          <w:color w:val="0070C0"/>
        </w:rPr>
        <w:t>“</w:t>
      </w:r>
      <w:r w:rsidR="00097E03">
        <w:rPr>
          <w:i/>
          <w:iCs/>
          <w:color w:val="0070C0"/>
        </w:rPr>
        <w:t xml:space="preserve">However, the analysis of the time-distance evolution of the seismicity seems to indicate that the penny-shaped model </w:t>
      </w:r>
      <w:r w:rsidR="00097E03" w:rsidRPr="00097E03">
        <w:rPr>
          <w:i/>
          <w:iCs/>
          <w:color w:val="0070C0"/>
        </w:rPr>
        <w:t>is</w:t>
      </w:r>
      <w:r w:rsidR="00097E03" w:rsidRPr="00097E03">
        <w:rPr>
          <w:i/>
          <w:iCs/>
          <w:color w:val="0070C0"/>
        </w:rPr>
        <w:t xml:space="preserve"> </w:t>
      </w:r>
      <w:r w:rsidR="00097E03" w:rsidRPr="00097E03">
        <w:rPr>
          <w:i/>
          <w:iCs/>
          <w:color w:val="0070C0"/>
          <w:u w:val="single"/>
        </w:rPr>
        <w:t>better to model all</w:t>
      </w:r>
      <w:r w:rsidR="00097E03" w:rsidRPr="00097E03">
        <w:rPr>
          <w:i/>
          <w:iCs/>
          <w:color w:val="0070C0"/>
        </w:rPr>
        <w:t xml:space="preserve"> </w:t>
      </w:r>
      <w:r w:rsidR="00097E03" w:rsidRPr="00097E03">
        <w:rPr>
          <w:i/>
          <w:iCs/>
          <w:color w:val="0070C0"/>
        </w:rPr>
        <w:t>the injection phase</w:t>
      </w:r>
      <w:r w:rsidR="00097E03" w:rsidRPr="00097E03">
        <w:rPr>
          <w:i/>
          <w:iCs/>
          <w:color w:val="0070C0"/>
          <w:u w:val="single"/>
        </w:rPr>
        <w:t>, although the</w:t>
      </w:r>
      <w:r w:rsidR="00097E03" w:rsidRPr="00097E03">
        <w:rPr>
          <w:rStyle w:val="apple-converted-space"/>
          <w:rFonts w:eastAsiaTheme="majorEastAsia"/>
          <w:i/>
          <w:iCs/>
          <w:color w:val="0070C0"/>
          <w:u w:val="single"/>
        </w:rPr>
        <w:t xml:space="preserve"> </w:t>
      </w:r>
      <w:r w:rsidR="00097E03" w:rsidRPr="00097E03">
        <w:rPr>
          <w:i/>
          <w:iCs/>
          <w:color w:val="0070C0"/>
          <w:u w:val="single"/>
        </w:rPr>
        <w:t>high</w:t>
      </w:r>
      <w:r w:rsidR="00097E03" w:rsidRPr="00097E03">
        <w:rPr>
          <w:i/>
          <w:iCs/>
          <w:color w:val="0070C0"/>
          <w:u w:val="single"/>
        </w:rPr>
        <w:t xml:space="preserve"> </w:t>
      </w:r>
      <w:r w:rsidR="00097E03" w:rsidRPr="00097E03">
        <w:rPr>
          <w:i/>
          <w:iCs/>
          <w:color w:val="0070C0"/>
          <w:u w:val="single"/>
        </w:rPr>
        <w:t>pore pressure</w:t>
      </w:r>
      <w:r w:rsidR="00097E03" w:rsidRPr="00097E03">
        <w:rPr>
          <w:i/>
          <w:iCs/>
          <w:color w:val="0070C0"/>
          <w:u w:val="single"/>
        </w:rPr>
        <w:t xml:space="preserve"> </w:t>
      </w:r>
      <w:r w:rsidR="00097E03" w:rsidRPr="00097E03">
        <w:rPr>
          <w:i/>
          <w:iCs/>
          <w:color w:val="0070C0"/>
          <w:u w:val="single"/>
        </w:rPr>
        <w:t>diffusion model fits better the first</w:t>
      </w:r>
      <w:r w:rsidR="00097E03" w:rsidRPr="00097E03">
        <w:rPr>
          <w:rStyle w:val="apple-converted-space"/>
          <w:rFonts w:eastAsiaTheme="majorEastAsia"/>
          <w:i/>
          <w:iCs/>
          <w:color w:val="0070C0"/>
          <w:u w:val="single"/>
        </w:rPr>
        <w:t xml:space="preserve"> </w:t>
      </w:r>
      <w:r w:rsidR="00097E03" w:rsidRPr="00097E03">
        <w:rPr>
          <w:i/>
          <w:iCs/>
          <w:color w:val="0070C0"/>
          <w:u w:val="single"/>
        </w:rPr>
        <w:t xml:space="preserve">hour </w:t>
      </w:r>
      <w:r w:rsidR="00097E03">
        <w:rPr>
          <w:i/>
          <w:iCs/>
          <w:color w:val="0070C0"/>
          <w:u w:val="single"/>
        </w:rPr>
        <w:t>of injection phase and has a comparable R</w:t>
      </w:r>
      <w:r w:rsidR="00097E03">
        <w:rPr>
          <w:i/>
          <w:iCs/>
          <w:color w:val="0070C0"/>
          <w:u w:val="single"/>
          <w:vertAlign w:val="superscript"/>
        </w:rPr>
        <w:t>2</w:t>
      </w:r>
      <w:r w:rsidRPr="00254E9E">
        <w:rPr>
          <w:i/>
          <w:color w:val="0070C0"/>
          <w:u w:val="single"/>
        </w:rPr>
        <w:t>.</w:t>
      </w:r>
      <w:r w:rsidR="00385D87" w:rsidRPr="00254E9E">
        <w:rPr>
          <w:i/>
          <w:color w:val="0070C0"/>
          <w:u w:val="single"/>
        </w:rPr>
        <w:t>”</w:t>
      </w:r>
      <w:r>
        <w:rPr>
          <w:i/>
          <w:color w:val="0070C0"/>
        </w:rPr>
        <w:t xml:space="preserve"> </w:t>
      </w:r>
    </w:p>
    <w:p w14:paraId="784A6F3E" w14:textId="77777777" w:rsidR="00651AE1" w:rsidRDefault="00651AE1" w:rsidP="00651AE1">
      <w:pPr>
        <w:jc w:val="both"/>
        <w:rPr>
          <w:i/>
          <w:color w:val="0070C0"/>
        </w:rPr>
      </w:pPr>
    </w:p>
    <w:p w14:paraId="5A9A9568" w14:textId="5F886CD2" w:rsidR="00651AE1" w:rsidRDefault="2A343042" w:rsidP="7F1BB2FD">
      <w:pPr>
        <w:jc w:val="both"/>
        <w:rPr>
          <w:i/>
          <w:iCs/>
          <w:color w:val="0070C0"/>
        </w:rPr>
      </w:pPr>
      <w:r w:rsidRPr="7F1BB2FD">
        <w:rPr>
          <w:i/>
          <w:iCs/>
          <w:color w:val="0070C0"/>
        </w:rPr>
        <w:t xml:space="preserve">In addition, we agree with the reviewer that the anisotropic hydraulic properties of the host rock may lead to varied propagation patterns. This is illustrated in the distance-time (R-T) plot in Figure </w:t>
      </w:r>
      <w:r w:rsidR="00F4121D">
        <w:rPr>
          <w:i/>
          <w:iCs/>
          <w:color w:val="0070C0"/>
        </w:rPr>
        <w:t>R</w:t>
      </w:r>
      <w:r w:rsidRPr="7F1BB2FD">
        <w:rPr>
          <w:i/>
          <w:iCs/>
          <w:color w:val="0070C0"/>
        </w:rPr>
        <w:t>3, where earthquake propagation is plotted against the along-strike and down-dip distances derived from the PCA fit. The observed differences in migration rates and shapes could be explained by anisotropic permeability/diffusivity, an expanding tensile crack with an upward-elongated aspect ratio, or an aseismic fracture with a similar geometry. These possibilities highlight the inherent ambiguity in relying solely on seismicity features to distinguish between driving mechanisms. Furthermore, since all the analytical models we employed assume radial symmetry, we used radial distance as a first-order approximation to capture the primary migration trends of the seismicity.</w:t>
      </w:r>
    </w:p>
    <w:p w14:paraId="7762A898" w14:textId="77777777" w:rsidR="00651AE1" w:rsidRDefault="00651AE1" w:rsidP="00651AE1">
      <w:pPr>
        <w:jc w:val="both"/>
        <w:rPr>
          <w:i/>
          <w:color w:val="0070C0"/>
        </w:rPr>
      </w:pPr>
    </w:p>
    <w:p w14:paraId="1EEACC0D" w14:textId="77777777" w:rsidR="00651AE1" w:rsidRDefault="00651AE1" w:rsidP="5BB6DCE0">
      <w:pPr>
        <w:jc w:val="both"/>
        <w:rPr>
          <w:i/>
          <w:iCs/>
          <w:color w:val="0070C0"/>
          <w:lang w:val="en-GB"/>
        </w:rPr>
      </w:pPr>
      <w:r w:rsidRPr="5BB6DCE0">
        <w:rPr>
          <w:i/>
          <w:iCs/>
          <w:color w:val="0070C0"/>
          <w:lang w:val="en-GB"/>
        </w:rPr>
        <w:t xml:space="preserve">We agree that the location errors and the overall distribution of seismicity are comparable. It should be noted that both the check-shot and all seismic events were located using the same algorithm and velocity model. Therefore, regardless of any absolute location offsets, the relative distances between </w:t>
      </w:r>
      <w:proofErr w:type="spellStart"/>
      <w:r w:rsidRPr="5BB6DCE0">
        <w:rPr>
          <w:i/>
          <w:iCs/>
          <w:color w:val="0070C0"/>
          <w:lang w:val="en-GB"/>
        </w:rPr>
        <w:t>hypocenters</w:t>
      </w:r>
      <w:proofErr w:type="spellEnd"/>
      <w:r w:rsidRPr="5BB6DCE0">
        <w:rPr>
          <w:i/>
          <w:iCs/>
          <w:color w:val="0070C0"/>
          <w:lang w:val="en-GB"/>
        </w:rPr>
        <w:t xml:space="preserve"> should be consistent. This internal consistency justifies the application of different models to the same dataset for comparative analysis. Adding a full statistical treatment of uncertainties in the location is beyond the scope of this study.</w:t>
      </w:r>
    </w:p>
    <w:p w14:paraId="30A2D9BA" w14:textId="77777777" w:rsidR="00651AE1" w:rsidRDefault="00651AE1" w:rsidP="00651AE1">
      <w:pPr>
        <w:jc w:val="both"/>
        <w:rPr>
          <w:i/>
          <w:color w:val="0070C0"/>
        </w:rPr>
      </w:pPr>
    </w:p>
    <w:p w14:paraId="72878797" w14:textId="77777777" w:rsidR="00651AE1" w:rsidRPr="009B0B47" w:rsidRDefault="00651AE1" w:rsidP="00651AE1">
      <w:pPr>
        <w:jc w:val="both"/>
        <w:rPr>
          <w:color w:val="0070C0"/>
        </w:rPr>
      </w:pPr>
      <w:r>
        <w:rPr>
          <w:i/>
          <w:noProof/>
          <w:color w:val="0070C0"/>
        </w:rPr>
        <w:drawing>
          <wp:inline distT="0" distB="0" distL="0" distR="0" wp14:anchorId="70B63E56" wp14:editId="1A826913">
            <wp:extent cx="5731933" cy="1848254"/>
            <wp:effectExtent l="0" t="0" r="0" b="6350"/>
            <wp:docPr id="165673403" name="Picture 3">
              <a:extLst xmlns:a="http://schemas.openxmlformats.org/drawingml/2006/main">
                <a:ext uri="{FF2B5EF4-FFF2-40B4-BE49-F238E27FC236}">
                  <a16:creationId xmlns:a16="http://schemas.microsoft.com/office/drawing/2014/main" id="{2DB7C0EE-CA87-44DC-A5EC-382F6389D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3403" name="Picture 3"/>
                    <pic:cNvPicPr/>
                  </pic:nvPicPr>
                  <pic:blipFill rotWithShape="1">
                    <a:blip r:embed="rId9">
                      <a:extLst>
                        <a:ext uri="{28A0092B-C50C-407E-A947-70E740481C1C}">
                          <a14:useLocalDpi xmlns:a14="http://schemas.microsoft.com/office/drawing/2010/main"/>
                        </a:ext>
                      </a:extLst>
                    </a:blip>
                    <a:srcRect/>
                    <a:stretch>
                      <a:fillRect/>
                    </a:stretch>
                  </pic:blipFill>
                  <pic:spPr bwMode="auto">
                    <a:xfrm>
                      <a:off x="0" y="0"/>
                      <a:ext cx="5776403" cy="1862593"/>
                    </a:xfrm>
                    <a:prstGeom prst="rect">
                      <a:avLst/>
                    </a:prstGeom>
                    <a:ln>
                      <a:noFill/>
                    </a:ln>
                    <a:extLst>
                      <a:ext uri="{53640926-AAD7-44D8-BBD7-CCE9431645EC}">
                        <a14:shadowObscured xmlns:a14="http://schemas.microsoft.com/office/drawing/2010/main"/>
                      </a:ext>
                    </a:extLst>
                  </pic:spPr>
                </pic:pic>
              </a:graphicData>
            </a:graphic>
          </wp:inline>
        </w:drawing>
      </w:r>
      <w:r>
        <w:rPr>
          <w:i/>
          <w:color w:val="0070C0"/>
        </w:rPr>
        <w:t xml:space="preserve"> </w:t>
      </w:r>
    </w:p>
    <w:p w14:paraId="54698F96" w14:textId="1AF91AAE" w:rsidR="00651AE1" w:rsidRDefault="2A343042" w:rsidP="7F1BB2FD">
      <w:pPr>
        <w:jc w:val="both"/>
        <w:rPr>
          <w:color w:val="000000"/>
        </w:rPr>
      </w:pPr>
      <w:r w:rsidRPr="7F1BB2FD">
        <w:rPr>
          <w:i/>
          <w:iCs/>
          <w:color w:val="0070C0"/>
        </w:rPr>
        <w:t>Fig</w:t>
      </w:r>
      <w:r w:rsidR="00F4121D">
        <w:rPr>
          <w:i/>
          <w:iCs/>
          <w:color w:val="0070C0"/>
        </w:rPr>
        <w:t>ure R</w:t>
      </w:r>
      <w:r w:rsidRPr="7F1BB2FD">
        <w:rPr>
          <w:i/>
          <w:iCs/>
          <w:color w:val="0070C0"/>
        </w:rPr>
        <w:t xml:space="preserve">3: Along strike vs time (left panel) and downdip vs time (right panel). Downdip is positive downward highlighting a major upward propagation. Along strike is positive southward. </w:t>
      </w:r>
    </w:p>
    <w:p w14:paraId="4BC487E0" w14:textId="5399AA92" w:rsidR="00BB1A0B" w:rsidRPr="00651AE1" w:rsidRDefault="00BB1A0B" w:rsidP="00907257">
      <w:pPr>
        <w:jc w:val="both"/>
        <w:rPr>
          <w:color w:val="000000"/>
        </w:rPr>
      </w:pPr>
    </w:p>
    <w:p w14:paraId="4D9D89D8" w14:textId="77777777" w:rsidR="00BB1A0B" w:rsidRDefault="2DBC5521" w:rsidP="7F1BB2FD">
      <w:pPr>
        <w:jc w:val="both"/>
        <w:rPr>
          <w:color w:val="000000"/>
        </w:rPr>
      </w:pPr>
      <w:r w:rsidRPr="7F1BB2FD">
        <w:rPr>
          <w:color w:val="000000" w:themeColor="text1"/>
        </w:rPr>
        <w:t>Additional comments</w:t>
      </w:r>
    </w:p>
    <w:p w14:paraId="6EEDF766" w14:textId="77777777" w:rsidR="00907257" w:rsidRPr="00BB1A0B" w:rsidRDefault="00907257" w:rsidP="00907257">
      <w:pPr>
        <w:jc w:val="both"/>
        <w:rPr>
          <w:color w:val="000000"/>
        </w:rPr>
      </w:pPr>
    </w:p>
    <w:p w14:paraId="2FBE0BC5" w14:textId="77777777" w:rsidR="00BB1A0B" w:rsidRDefault="00BB1A0B" w:rsidP="00907257">
      <w:pPr>
        <w:jc w:val="both"/>
        <w:rPr>
          <w:color w:val="000000"/>
        </w:rPr>
      </w:pPr>
      <w:r w:rsidRPr="00BB1A0B">
        <w:rPr>
          <w:color w:val="000000"/>
        </w:rPr>
        <w:t>Point 5: Line 116: “which however,” should read “which, however,”.</w:t>
      </w:r>
    </w:p>
    <w:p w14:paraId="51F34A2F" w14:textId="3B7B760E" w:rsidR="00907257" w:rsidRDefault="00907257" w:rsidP="00907257">
      <w:pPr>
        <w:jc w:val="both"/>
        <w:rPr>
          <w:i/>
          <w:iCs/>
          <w:color w:val="0070C0"/>
        </w:rPr>
      </w:pPr>
      <w:r w:rsidRPr="00907257">
        <w:rPr>
          <w:i/>
          <w:iCs/>
          <w:color w:val="0070C0"/>
        </w:rPr>
        <w:t>Done.</w:t>
      </w:r>
    </w:p>
    <w:p w14:paraId="37D2903F" w14:textId="77777777" w:rsidR="00907257" w:rsidRPr="00BB1A0B" w:rsidRDefault="00907257" w:rsidP="00907257">
      <w:pPr>
        <w:jc w:val="both"/>
        <w:rPr>
          <w:i/>
          <w:iCs/>
          <w:color w:val="0070C0"/>
        </w:rPr>
      </w:pPr>
    </w:p>
    <w:p w14:paraId="28D6586A" w14:textId="77777777" w:rsidR="00BB1A0B" w:rsidRDefault="00BB1A0B" w:rsidP="00907257">
      <w:pPr>
        <w:jc w:val="both"/>
        <w:rPr>
          <w:color w:val="000000"/>
        </w:rPr>
      </w:pPr>
      <w:r w:rsidRPr="00BB1A0B">
        <w:rPr>
          <w:color w:val="000000"/>
        </w:rPr>
        <w:t>Point 6: Line 126: “leveraging on” → remove “on”.</w:t>
      </w:r>
    </w:p>
    <w:p w14:paraId="019D8A9B" w14:textId="7D36ADEE" w:rsidR="00907257" w:rsidRPr="00907257" w:rsidRDefault="00907257" w:rsidP="00907257">
      <w:pPr>
        <w:jc w:val="both"/>
        <w:rPr>
          <w:i/>
          <w:iCs/>
          <w:color w:val="0070C0"/>
        </w:rPr>
      </w:pPr>
      <w:r w:rsidRPr="00907257">
        <w:rPr>
          <w:i/>
          <w:iCs/>
          <w:color w:val="0070C0"/>
        </w:rPr>
        <w:t>Done.</w:t>
      </w:r>
    </w:p>
    <w:p w14:paraId="76CFE68C" w14:textId="77777777" w:rsidR="00907257" w:rsidRPr="00BB1A0B" w:rsidRDefault="00907257" w:rsidP="00907257">
      <w:pPr>
        <w:jc w:val="both"/>
        <w:rPr>
          <w:color w:val="000000"/>
        </w:rPr>
      </w:pPr>
    </w:p>
    <w:p w14:paraId="5DC209E0" w14:textId="741FD4A0" w:rsidR="00907257" w:rsidRDefault="00BB1A0B" w:rsidP="00907257">
      <w:pPr>
        <w:jc w:val="both"/>
        <w:rPr>
          <w:color w:val="000000"/>
        </w:rPr>
      </w:pPr>
      <w:r w:rsidRPr="00BB1A0B">
        <w:rPr>
          <w:color w:val="000000"/>
        </w:rPr>
        <w:lastRenderedPageBreak/>
        <w:t>Point 7: Figure 1 is missing labels “a” and “b</w:t>
      </w:r>
      <w:r w:rsidRPr="009F2450">
        <w:rPr>
          <w:color w:val="000000"/>
        </w:rPr>
        <w:t>”. In addition, the well trajectory appears to extend from west to east in the left panel, but from north to south in the 3D view. The topographic projection in the right panel also appears inconsistent with the left panel.</w:t>
      </w:r>
    </w:p>
    <w:p w14:paraId="72869593" w14:textId="5C18F86A" w:rsidR="00E6462F" w:rsidRPr="0041038D" w:rsidRDefault="437E7549" w:rsidP="7F1BB2FD">
      <w:pPr>
        <w:jc w:val="both"/>
        <w:rPr>
          <w:i/>
          <w:iCs/>
          <w:color w:val="0070C0"/>
        </w:rPr>
      </w:pPr>
      <w:r w:rsidRPr="7F1BB2FD">
        <w:rPr>
          <w:i/>
          <w:iCs/>
          <w:color w:val="0070C0"/>
        </w:rPr>
        <w:t>Thanks for catching the missing labels. We have now added the labels “a)” and “b)”.</w:t>
      </w:r>
      <w:r w:rsidR="5968EDF2" w:rsidRPr="7F1BB2FD">
        <w:rPr>
          <w:i/>
          <w:iCs/>
          <w:color w:val="0070C0"/>
        </w:rPr>
        <w:t xml:space="preserve"> Regarding the</w:t>
      </w:r>
      <w:r w:rsidRPr="7F1BB2FD">
        <w:rPr>
          <w:i/>
          <w:iCs/>
          <w:color w:val="0070C0"/>
        </w:rPr>
        <w:t xml:space="preserve"> </w:t>
      </w:r>
      <w:proofErr w:type="spellStart"/>
      <w:r w:rsidR="0FBA16D2" w:rsidRPr="7F1BB2FD">
        <w:rPr>
          <w:i/>
          <w:iCs/>
          <w:color w:val="0070C0"/>
        </w:rPr>
        <w:t>the</w:t>
      </w:r>
      <w:proofErr w:type="spellEnd"/>
      <w:r w:rsidR="0FBA16D2" w:rsidRPr="7F1BB2FD">
        <w:rPr>
          <w:i/>
          <w:iCs/>
          <w:color w:val="0070C0"/>
        </w:rPr>
        <w:t xml:space="preserve"> well trajectories and topographic projection</w:t>
      </w:r>
      <w:r w:rsidR="2BD7FAAB" w:rsidRPr="7F1BB2FD">
        <w:rPr>
          <w:i/>
          <w:iCs/>
          <w:color w:val="0070C0"/>
        </w:rPr>
        <w:t xml:space="preserve">, this is an effect of the chosen prospective for the 3D view. We used </w:t>
      </w:r>
      <w:proofErr w:type="spellStart"/>
      <w:r w:rsidR="2BD7FAAB" w:rsidRPr="7F1BB2FD">
        <w:rPr>
          <w:i/>
          <w:iCs/>
          <w:color w:val="0070C0"/>
        </w:rPr>
        <w:t>pygmt</w:t>
      </w:r>
      <w:proofErr w:type="spellEnd"/>
      <w:r w:rsidR="2BD7FAAB" w:rsidRPr="7F1BB2FD">
        <w:rPr>
          <w:i/>
          <w:iCs/>
          <w:color w:val="0070C0"/>
        </w:rPr>
        <w:t xml:space="preserve"> to plot the 3D view and set a perspective </w:t>
      </w:r>
      <w:r w:rsidR="3DDC23A9" w:rsidRPr="7F1BB2FD">
        <w:rPr>
          <w:i/>
          <w:iCs/>
          <w:color w:val="0070C0"/>
        </w:rPr>
        <w:t>= (210, 15) meaning an azimuth = 210°</w:t>
      </w:r>
      <w:r w:rsidR="29BDE24D" w:rsidRPr="7F1BB2FD">
        <w:rPr>
          <w:i/>
          <w:iCs/>
          <w:color w:val="0070C0"/>
        </w:rPr>
        <w:t xml:space="preserve"> (clockwise from north)</w:t>
      </w:r>
      <w:r w:rsidR="3DDC23A9" w:rsidRPr="7F1BB2FD">
        <w:rPr>
          <w:i/>
          <w:iCs/>
          <w:color w:val="0070C0"/>
        </w:rPr>
        <w:t xml:space="preserve"> and elevation = 15</w:t>
      </w:r>
      <w:r w:rsidR="183EC964" w:rsidRPr="7F1BB2FD">
        <w:rPr>
          <w:i/>
          <w:iCs/>
          <w:color w:val="0070C0"/>
        </w:rPr>
        <w:t>° (very low above the horizontal plane)</w:t>
      </w:r>
      <w:r w:rsidR="15D62AE2" w:rsidRPr="7F1BB2FD">
        <w:rPr>
          <w:i/>
          <w:iCs/>
          <w:color w:val="0070C0"/>
        </w:rPr>
        <w:t xml:space="preserve">. </w:t>
      </w:r>
      <w:proofErr w:type="gramStart"/>
      <w:r w:rsidR="15D62AE2" w:rsidRPr="7F1BB2FD">
        <w:rPr>
          <w:i/>
          <w:iCs/>
          <w:color w:val="0070C0"/>
        </w:rPr>
        <w:t>Thus</w:t>
      </w:r>
      <w:proofErr w:type="gramEnd"/>
      <w:r w:rsidR="15D62AE2" w:rsidRPr="7F1BB2FD">
        <w:rPr>
          <w:i/>
          <w:iCs/>
          <w:color w:val="0070C0"/>
        </w:rPr>
        <w:t xml:space="preserve"> the </w:t>
      </w:r>
      <w:r w:rsidR="19860A2D" w:rsidRPr="7F1BB2FD">
        <w:rPr>
          <w:i/>
          <w:iCs/>
          <w:color w:val="0070C0"/>
        </w:rPr>
        <w:t xml:space="preserve">chosen </w:t>
      </w:r>
      <w:r w:rsidR="15D62AE2" w:rsidRPr="7F1BB2FD">
        <w:rPr>
          <w:i/>
          <w:iCs/>
          <w:color w:val="0070C0"/>
        </w:rPr>
        <w:t xml:space="preserve">3-D </w:t>
      </w:r>
      <w:r w:rsidR="19860A2D" w:rsidRPr="7F1BB2FD">
        <w:rPr>
          <w:i/>
          <w:iCs/>
          <w:color w:val="0070C0"/>
        </w:rPr>
        <w:t xml:space="preserve">perspective </w:t>
      </w:r>
      <w:r w:rsidR="15D62AE2" w:rsidRPr="7F1BB2FD">
        <w:rPr>
          <w:i/>
          <w:iCs/>
          <w:color w:val="0070C0"/>
        </w:rPr>
        <w:t>with azimuth 210°</w:t>
      </w:r>
      <w:r w:rsidR="19860A2D" w:rsidRPr="7F1BB2FD">
        <w:rPr>
          <w:i/>
          <w:iCs/>
          <w:color w:val="0070C0"/>
        </w:rPr>
        <w:t xml:space="preserve"> rotates the view clockwise 210° from north, making the </w:t>
      </w:r>
      <w:r w:rsidR="5968EDF2" w:rsidRPr="7F1BB2FD">
        <w:rPr>
          <w:i/>
          <w:iCs/>
          <w:color w:val="0070C0"/>
        </w:rPr>
        <w:t xml:space="preserve">well trajectory that goes </w:t>
      </w:r>
      <w:r w:rsidR="5968EDF2" w:rsidRPr="7F1BB2FD">
        <w:rPr>
          <w:b/>
          <w:bCs/>
          <w:i/>
          <w:iCs/>
          <w:color w:val="0070C0"/>
        </w:rPr>
        <w:t>west → east</w:t>
      </w:r>
      <w:r w:rsidR="5968EDF2" w:rsidRPr="7F1BB2FD">
        <w:rPr>
          <w:i/>
          <w:iCs/>
          <w:color w:val="0070C0"/>
        </w:rPr>
        <w:t xml:space="preserve"> in the map view (top-down) </w:t>
      </w:r>
      <w:r w:rsidR="19860A2D" w:rsidRPr="7F1BB2FD">
        <w:rPr>
          <w:i/>
          <w:iCs/>
          <w:color w:val="0070C0"/>
        </w:rPr>
        <w:t>to</w:t>
      </w:r>
      <w:r w:rsidR="5968EDF2" w:rsidRPr="7F1BB2FD">
        <w:rPr>
          <w:i/>
          <w:iCs/>
          <w:color w:val="0070C0"/>
        </w:rPr>
        <w:t xml:space="preserve"> appear as </w:t>
      </w:r>
      <w:r w:rsidR="5968EDF2" w:rsidRPr="7F1BB2FD">
        <w:rPr>
          <w:b/>
          <w:bCs/>
          <w:i/>
          <w:iCs/>
          <w:color w:val="0070C0"/>
        </w:rPr>
        <w:t>north → south</w:t>
      </w:r>
      <w:r w:rsidR="5968EDF2" w:rsidRPr="7F1BB2FD">
        <w:rPr>
          <w:i/>
          <w:iCs/>
          <w:color w:val="0070C0"/>
        </w:rPr>
        <w:t xml:space="preserve"> in the 3D view because of the rotated azimuth.</w:t>
      </w:r>
      <w:r w:rsidR="421D67E9" w:rsidRPr="7F1BB2FD">
        <w:rPr>
          <w:i/>
          <w:iCs/>
          <w:color w:val="0070C0"/>
        </w:rPr>
        <w:t xml:space="preserve"> Similarly, also the topography (which is in this case is represented as contour lines) can look twisted with respect to the map view.</w:t>
      </w:r>
      <w:r w:rsidR="413B5A56" w:rsidRPr="7F1BB2FD">
        <w:rPr>
          <w:i/>
          <w:iCs/>
          <w:color w:val="0070C0"/>
        </w:rPr>
        <w:t xml:space="preserve"> We have added a North arrow (rotated according to the per</w:t>
      </w:r>
      <w:r w:rsidR="00775C11">
        <w:rPr>
          <w:i/>
          <w:iCs/>
          <w:color w:val="0070C0"/>
        </w:rPr>
        <w:t>s</w:t>
      </w:r>
      <w:r w:rsidR="413B5A56" w:rsidRPr="7F1BB2FD">
        <w:rPr>
          <w:i/>
          <w:iCs/>
          <w:color w:val="0070C0"/>
        </w:rPr>
        <w:t xml:space="preserve">pective) also in the 3-D view to </w:t>
      </w:r>
      <w:r w:rsidR="45D2E372" w:rsidRPr="7F1BB2FD">
        <w:rPr>
          <w:i/>
          <w:iCs/>
          <w:color w:val="0070C0"/>
        </w:rPr>
        <w:t xml:space="preserve">show the rotation. </w:t>
      </w:r>
    </w:p>
    <w:p w14:paraId="48EFCA39" w14:textId="77777777" w:rsidR="00907257" w:rsidRPr="00BB1A0B" w:rsidRDefault="00907257" w:rsidP="00907257">
      <w:pPr>
        <w:jc w:val="both"/>
        <w:rPr>
          <w:i/>
          <w:iCs/>
          <w:color w:val="000000"/>
        </w:rPr>
      </w:pPr>
    </w:p>
    <w:p w14:paraId="2B6E5D47" w14:textId="77777777" w:rsidR="00BB1A0B" w:rsidRDefault="00BB1A0B" w:rsidP="00907257">
      <w:pPr>
        <w:jc w:val="both"/>
        <w:rPr>
          <w:color w:val="000000"/>
        </w:rPr>
      </w:pPr>
      <w:r w:rsidRPr="00BB1A0B">
        <w:rPr>
          <w:color w:val="000000"/>
        </w:rPr>
        <w:t>Point 8: Line 247: Please clarify whether the events with Mw &gt; –1.5 refer only to the manually reviewed 7,428 events, rather than the full catalog.</w:t>
      </w:r>
    </w:p>
    <w:p w14:paraId="5F3B215C" w14:textId="5B670504" w:rsidR="00907257" w:rsidRPr="00907257" w:rsidRDefault="00907257" w:rsidP="00907257">
      <w:pPr>
        <w:jc w:val="both"/>
        <w:rPr>
          <w:i/>
          <w:iCs/>
          <w:color w:val="0070C0"/>
        </w:rPr>
      </w:pPr>
      <w:r w:rsidRPr="00907257">
        <w:rPr>
          <w:i/>
          <w:iCs/>
          <w:color w:val="0070C0"/>
        </w:rPr>
        <w:t>Correct. We have now clarified in the text that the events used for the PCA are indeed from the manually reviewed catalog.</w:t>
      </w:r>
    </w:p>
    <w:p w14:paraId="77CE71BD" w14:textId="77777777" w:rsidR="00907257" w:rsidRPr="00BB1A0B" w:rsidRDefault="00907257" w:rsidP="00907257">
      <w:pPr>
        <w:jc w:val="both"/>
        <w:rPr>
          <w:color w:val="000000"/>
        </w:rPr>
      </w:pPr>
    </w:p>
    <w:p w14:paraId="43FD4369" w14:textId="77777777" w:rsidR="00BB1A0B" w:rsidRDefault="2DBC5521" w:rsidP="7F1BB2FD">
      <w:pPr>
        <w:jc w:val="both"/>
        <w:rPr>
          <w:color w:val="000000"/>
        </w:rPr>
      </w:pPr>
      <w:r w:rsidRPr="7F1BB2FD">
        <w:rPr>
          <w:color w:val="000000" w:themeColor="text1"/>
        </w:rPr>
        <w:t xml:space="preserve">Point 9: Lines 336–337: Grammatical issue. Should read: “The flow model is then used for t &gt; </w:t>
      </w:r>
      <w:proofErr w:type="spellStart"/>
      <w:r w:rsidRPr="7F1BB2FD">
        <w:rPr>
          <w:color w:val="000000" w:themeColor="text1"/>
        </w:rPr>
        <w:t>tlearn</w:t>
      </w:r>
      <w:proofErr w:type="spellEnd"/>
      <w:r w:rsidRPr="7F1BB2FD">
        <w:rPr>
          <w:color w:val="000000" w:themeColor="text1"/>
        </w:rPr>
        <w:t xml:space="preserve"> to produce …”.</w:t>
      </w:r>
    </w:p>
    <w:p w14:paraId="63F0E24E" w14:textId="7466037B" w:rsidR="00907257" w:rsidRPr="00907257" w:rsidRDefault="692E43EE" w:rsidP="7F1BB2FD">
      <w:pPr>
        <w:jc w:val="both"/>
        <w:rPr>
          <w:i/>
          <w:iCs/>
          <w:color w:val="0070C0"/>
        </w:rPr>
      </w:pPr>
      <w:r w:rsidRPr="7F1BB2FD">
        <w:rPr>
          <w:i/>
          <w:iCs/>
          <w:color w:val="0070C0"/>
        </w:rPr>
        <w:t>Corrected. Thanks for catching it!</w:t>
      </w:r>
    </w:p>
    <w:p w14:paraId="640BBC9A" w14:textId="77777777" w:rsidR="00907257" w:rsidRPr="00BB1A0B" w:rsidRDefault="00907257" w:rsidP="00907257">
      <w:pPr>
        <w:jc w:val="both"/>
        <w:rPr>
          <w:color w:val="000000"/>
        </w:rPr>
      </w:pPr>
    </w:p>
    <w:p w14:paraId="660FEC15" w14:textId="77777777" w:rsidR="00BB1A0B" w:rsidRDefault="00BB1A0B" w:rsidP="00907257">
      <w:pPr>
        <w:jc w:val="both"/>
        <w:rPr>
          <w:color w:val="000000"/>
        </w:rPr>
      </w:pPr>
      <w:r w:rsidRPr="00BB1A0B">
        <w:rPr>
          <w:color w:val="000000"/>
        </w:rPr>
        <w:t>Point 10: Line 361: “criteria” should be singular (“criterion”).</w:t>
      </w:r>
    </w:p>
    <w:p w14:paraId="6604C9EF" w14:textId="7D2A6348" w:rsidR="00EC275E" w:rsidRPr="00EC275E" w:rsidRDefault="00EC275E" w:rsidP="00907257">
      <w:pPr>
        <w:jc w:val="both"/>
        <w:rPr>
          <w:i/>
          <w:iCs/>
          <w:color w:val="000000"/>
        </w:rPr>
      </w:pPr>
      <w:r w:rsidRPr="00EC275E">
        <w:rPr>
          <w:i/>
          <w:iCs/>
          <w:color w:val="0070C0"/>
        </w:rPr>
        <w:t>Done</w:t>
      </w:r>
    </w:p>
    <w:p w14:paraId="4817FDCD" w14:textId="77777777" w:rsidR="00907257" w:rsidRPr="00BB1A0B" w:rsidRDefault="00907257" w:rsidP="00907257">
      <w:pPr>
        <w:jc w:val="both"/>
        <w:rPr>
          <w:color w:val="000000"/>
        </w:rPr>
      </w:pPr>
    </w:p>
    <w:p w14:paraId="0BE0D2C6" w14:textId="77777777" w:rsidR="00BB1A0B" w:rsidRDefault="2DBC5521" w:rsidP="7F1BB2FD">
      <w:pPr>
        <w:jc w:val="both"/>
        <w:rPr>
          <w:color w:val="000000"/>
        </w:rPr>
      </w:pPr>
      <w:r w:rsidRPr="7F1BB2FD">
        <w:rPr>
          <w:color w:val="000000" w:themeColor="text1"/>
        </w:rPr>
        <w:t>Point 11: Figure 3 lacks a legend indicating how symbol size corresponds to magnitude. Same suggestion for Figure 4.</w:t>
      </w:r>
    </w:p>
    <w:p w14:paraId="2A599BB8" w14:textId="2010E7D7" w:rsidR="00EC275E" w:rsidRPr="00EC275E" w:rsidRDefault="00141D1C" w:rsidP="00907257">
      <w:pPr>
        <w:jc w:val="both"/>
        <w:rPr>
          <w:i/>
          <w:iCs/>
          <w:color w:val="0070C0"/>
        </w:rPr>
      </w:pPr>
      <w:r>
        <w:rPr>
          <w:i/>
          <w:iCs/>
          <w:color w:val="0070C0"/>
        </w:rPr>
        <w:t>D</w:t>
      </w:r>
      <w:r w:rsidR="00D31FF8">
        <w:rPr>
          <w:i/>
          <w:iCs/>
          <w:color w:val="0070C0"/>
        </w:rPr>
        <w:t>one</w:t>
      </w:r>
      <w:r>
        <w:rPr>
          <w:i/>
          <w:iCs/>
          <w:color w:val="0070C0"/>
        </w:rPr>
        <w:t xml:space="preserve"> for both figures</w:t>
      </w:r>
      <w:r w:rsidR="009046D7">
        <w:rPr>
          <w:i/>
          <w:iCs/>
          <w:color w:val="0070C0"/>
        </w:rPr>
        <w:t>.</w:t>
      </w:r>
    </w:p>
    <w:p w14:paraId="07B880E6" w14:textId="77777777" w:rsidR="00907257" w:rsidRPr="00BB1A0B" w:rsidRDefault="00907257" w:rsidP="00907257">
      <w:pPr>
        <w:jc w:val="both"/>
        <w:rPr>
          <w:color w:val="000000"/>
        </w:rPr>
      </w:pPr>
    </w:p>
    <w:p w14:paraId="4B02B40B" w14:textId="77777777" w:rsidR="00BB1A0B" w:rsidRDefault="2DBC5521" w:rsidP="7F1BB2FD">
      <w:pPr>
        <w:jc w:val="both"/>
        <w:rPr>
          <w:color w:val="000000" w:themeColor="text1"/>
        </w:rPr>
      </w:pPr>
      <w:r w:rsidRPr="7F1BB2FD">
        <w:rPr>
          <w:color w:val="000000" w:themeColor="text1"/>
        </w:rPr>
        <w:t>Point 12: Line 444: The statement that event magnitudes increase linearly during injection and peak at Mw ~0.6 is difficult to infer directly from Figure 3. I suggest plotting the maximum magnitude per time window to support this claim.</w:t>
      </w:r>
    </w:p>
    <w:p w14:paraId="441D159E" w14:textId="7C7A7487" w:rsidR="008C7F3E" w:rsidRDefault="000A003F" w:rsidP="7F1BB2FD">
      <w:pPr>
        <w:jc w:val="both"/>
        <w:rPr>
          <w:color w:val="000000"/>
        </w:rPr>
      </w:pPr>
      <w:r w:rsidRPr="7F1BB2FD">
        <w:rPr>
          <w:i/>
          <w:iCs/>
          <w:color w:val="0070C0"/>
        </w:rPr>
        <w:t>Thank you for the suggestion, we have added th</w:t>
      </w:r>
      <w:r>
        <w:rPr>
          <w:i/>
          <w:iCs/>
          <w:color w:val="0070C0"/>
        </w:rPr>
        <w:t>e</w:t>
      </w:r>
      <w:r w:rsidRPr="7F1BB2FD">
        <w:rPr>
          <w:i/>
          <w:iCs/>
          <w:color w:val="0070C0"/>
        </w:rPr>
        <w:t xml:space="preserve"> figure</w:t>
      </w:r>
      <w:r>
        <w:rPr>
          <w:i/>
          <w:iCs/>
          <w:color w:val="0070C0"/>
        </w:rPr>
        <w:t xml:space="preserve"> below</w:t>
      </w:r>
      <w:r w:rsidRPr="7F1BB2FD">
        <w:rPr>
          <w:i/>
          <w:iCs/>
          <w:color w:val="0070C0"/>
        </w:rPr>
        <w:t xml:space="preserve"> to the supplementary and referred to it in the main manuscript</w:t>
      </w:r>
      <w:r>
        <w:rPr>
          <w:i/>
          <w:iCs/>
          <w:color w:val="0070C0"/>
        </w:rPr>
        <w:t xml:space="preserve"> as Figure </w:t>
      </w:r>
      <w:r w:rsidR="001F78F0">
        <w:rPr>
          <w:i/>
          <w:iCs/>
          <w:color w:val="0070C0"/>
        </w:rPr>
        <w:t>S7.</w:t>
      </w:r>
    </w:p>
    <w:p w14:paraId="42200161" w14:textId="47FC7476" w:rsidR="00907257" w:rsidRDefault="00F40D1C" w:rsidP="00907257">
      <w:pPr>
        <w:jc w:val="both"/>
        <w:rPr>
          <w:color w:val="000000"/>
        </w:rPr>
      </w:pPr>
      <w:r w:rsidRPr="00F40D1C">
        <w:rPr>
          <w:i/>
          <w:iCs/>
          <w:noProof/>
          <w:color w:val="0070C0"/>
        </w:rPr>
        <w:drawing>
          <wp:inline distT="0" distB="0" distL="0" distR="0" wp14:anchorId="3B0CAA02" wp14:editId="53565750">
            <wp:extent cx="5730259" cy="2074984"/>
            <wp:effectExtent l="0" t="0" r="0" b="0"/>
            <wp:docPr id="994197286" name="Picture 1" descr="A diagram of a number of dots&#10;&#10;AI-generated content may be incorrect.">
              <a:extLst xmlns:a="http://schemas.openxmlformats.org/drawingml/2006/main">
                <a:ext uri="{FF2B5EF4-FFF2-40B4-BE49-F238E27FC236}">
                  <a16:creationId xmlns:a16="http://schemas.microsoft.com/office/drawing/2014/main" id="{5345297E-C605-43BB-90EF-6B9626108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97286" name="Picture 1" descr="A diagram of a number of dots&#10;&#10;AI-generated content may be incorrect."/>
                    <pic:cNvPicPr/>
                  </pic:nvPicPr>
                  <pic:blipFill rotWithShape="1">
                    <a:blip r:embed="rId10"/>
                    <a:srcRect t="-3243" b="-3080"/>
                    <a:stretch>
                      <a:fillRect/>
                    </a:stretch>
                  </pic:blipFill>
                  <pic:spPr bwMode="auto">
                    <a:xfrm>
                      <a:off x="0" y="0"/>
                      <a:ext cx="5731510" cy="2075437"/>
                    </a:xfrm>
                    <a:prstGeom prst="rect">
                      <a:avLst/>
                    </a:prstGeom>
                    <a:ln>
                      <a:noFill/>
                    </a:ln>
                    <a:extLst>
                      <a:ext uri="{53640926-AAD7-44D8-BBD7-CCE9431645EC}">
                        <a14:shadowObscured xmlns:a14="http://schemas.microsoft.com/office/drawing/2010/main"/>
                      </a:ext>
                    </a:extLst>
                  </pic:spPr>
                </pic:pic>
              </a:graphicData>
            </a:graphic>
          </wp:inline>
        </w:drawing>
      </w:r>
    </w:p>
    <w:p w14:paraId="6F752B74" w14:textId="6C8EF08B" w:rsidR="00F40D1C" w:rsidRPr="00633B06" w:rsidRDefault="46485A50" w:rsidP="7F1BB2FD">
      <w:pPr>
        <w:jc w:val="both"/>
        <w:rPr>
          <w:i/>
          <w:iCs/>
          <w:color w:val="0070C0"/>
        </w:rPr>
      </w:pPr>
      <w:r w:rsidRPr="00633B06">
        <w:rPr>
          <w:i/>
          <w:iCs/>
          <w:color w:val="0070C0"/>
        </w:rPr>
        <w:t>Figure S</w:t>
      </w:r>
      <w:r w:rsidR="00633B06" w:rsidRPr="00633B06">
        <w:rPr>
          <w:i/>
          <w:iCs/>
          <w:color w:val="0070C0"/>
        </w:rPr>
        <w:t>7</w:t>
      </w:r>
      <w:r w:rsidRPr="00633B06">
        <w:rPr>
          <w:i/>
          <w:iCs/>
          <w:color w:val="0070C0"/>
        </w:rPr>
        <w:t xml:space="preserve">: Timeline of the seismicity recorded during </w:t>
      </w:r>
      <w:r w:rsidR="00633B06">
        <w:rPr>
          <w:i/>
          <w:iCs/>
          <w:color w:val="0070C0"/>
        </w:rPr>
        <w:t>S</w:t>
      </w:r>
      <w:r w:rsidRPr="00633B06">
        <w:rPr>
          <w:i/>
          <w:iCs/>
          <w:color w:val="0070C0"/>
        </w:rPr>
        <w:t>tage 3 and evolution of the maximum observed magnitude (blue</w:t>
      </w:r>
      <w:r w:rsidR="00F875AC">
        <w:rPr>
          <w:i/>
          <w:iCs/>
          <w:color w:val="0070C0"/>
        </w:rPr>
        <w:t xml:space="preserve"> solid</w:t>
      </w:r>
      <w:r w:rsidRPr="00633B06">
        <w:rPr>
          <w:i/>
          <w:iCs/>
          <w:color w:val="0070C0"/>
        </w:rPr>
        <w:t xml:space="preserve"> line)</w:t>
      </w:r>
      <w:r w:rsidR="00E37C3C">
        <w:rPr>
          <w:i/>
          <w:iCs/>
          <w:color w:val="0070C0"/>
        </w:rPr>
        <w:t>.</w:t>
      </w:r>
      <w:r w:rsidRPr="00633B06">
        <w:rPr>
          <w:i/>
          <w:iCs/>
          <w:color w:val="0070C0"/>
        </w:rPr>
        <w:t xml:space="preserve"> </w:t>
      </w:r>
    </w:p>
    <w:p w14:paraId="1AA2C3AF" w14:textId="77777777" w:rsidR="00F40D1C" w:rsidRPr="00BB1A0B" w:rsidRDefault="00F40D1C" w:rsidP="00907257">
      <w:pPr>
        <w:jc w:val="both"/>
        <w:rPr>
          <w:color w:val="000000"/>
        </w:rPr>
      </w:pPr>
    </w:p>
    <w:p w14:paraId="41C1FA17" w14:textId="77777777" w:rsidR="00BB1A0B" w:rsidRDefault="2DBC5521" w:rsidP="7F1BB2FD">
      <w:pPr>
        <w:jc w:val="both"/>
        <w:rPr>
          <w:color w:val="000000"/>
        </w:rPr>
      </w:pPr>
      <w:r w:rsidRPr="7F1BB2FD">
        <w:rPr>
          <w:color w:val="000000" w:themeColor="text1"/>
        </w:rPr>
        <w:lastRenderedPageBreak/>
        <w:t xml:space="preserve">Point 13: Figure 5: </w:t>
      </w:r>
      <w:bookmarkStart w:id="0" w:name="OLE_LINK2"/>
      <w:r w:rsidRPr="7F1BB2FD">
        <w:rPr>
          <w:color w:val="000000" w:themeColor="text1"/>
        </w:rPr>
        <w:t>For clarity and aesthetics, shared legends should be plotted only once instead of being repeated in each panel. Why does the HM1D model predict zero uncertainty in the b-value? Also, please clarify what the two differently colored solid dots represent in the frequency–magnitude distributions.</w:t>
      </w:r>
      <w:bookmarkEnd w:id="0"/>
    </w:p>
    <w:p w14:paraId="50812634" w14:textId="50F2A022" w:rsidR="00907257" w:rsidRDefault="4F2D83F7" w:rsidP="5BB6DCE0">
      <w:pPr>
        <w:jc w:val="both"/>
        <w:rPr>
          <w:i/>
          <w:iCs/>
          <w:color w:val="0070C0"/>
          <w:lang w:val="en-GB"/>
        </w:rPr>
      </w:pPr>
      <w:r w:rsidRPr="5BB6DCE0">
        <w:rPr>
          <w:i/>
          <w:iCs/>
          <w:color w:val="0070C0"/>
          <w:lang w:val="en-GB"/>
        </w:rPr>
        <w:t xml:space="preserve">Thank you for the suggestion. Figure 5 has now only one legend for the lines/dots, and </w:t>
      </w:r>
      <w:r w:rsidR="2080050D" w:rsidRPr="5BB6DCE0">
        <w:rPr>
          <w:i/>
          <w:iCs/>
          <w:color w:val="0070C0"/>
          <w:lang w:val="en-GB"/>
        </w:rPr>
        <w:t xml:space="preserve">each subplot also a legend for the estimated statistical values. The </w:t>
      </w:r>
      <w:r w:rsidR="14F30871" w:rsidRPr="5BB6DCE0">
        <w:rPr>
          <w:i/>
          <w:iCs/>
          <w:color w:val="0070C0"/>
          <w:lang w:val="en-GB"/>
        </w:rPr>
        <w:t>uncertainty</w:t>
      </w:r>
      <w:r w:rsidR="2080050D" w:rsidRPr="5BB6DCE0">
        <w:rPr>
          <w:i/>
          <w:iCs/>
          <w:color w:val="0070C0"/>
          <w:lang w:val="en-GB"/>
        </w:rPr>
        <w:t xml:space="preserve"> for HM1D is now also included</w:t>
      </w:r>
      <w:r w:rsidR="3A3EFD1A" w:rsidRPr="5BB6DCE0">
        <w:rPr>
          <w:i/>
          <w:iCs/>
          <w:color w:val="0070C0"/>
          <w:lang w:val="en-GB"/>
        </w:rPr>
        <w:t xml:space="preserve">, the previous zero uncertainty was wrongly reported. The apparent different </w:t>
      </w:r>
      <w:proofErr w:type="spellStart"/>
      <w:r w:rsidR="3A3EFD1A" w:rsidRPr="5BB6DCE0">
        <w:rPr>
          <w:i/>
          <w:iCs/>
          <w:color w:val="0070C0"/>
          <w:lang w:val="en-GB"/>
        </w:rPr>
        <w:t>colored</w:t>
      </w:r>
      <w:proofErr w:type="spellEnd"/>
      <w:r w:rsidR="3A3EFD1A" w:rsidRPr="5BB6DCE0">
        <w:rPr>
          <w:i/>
          <w:iCs/>
          <w:color w:val="0070C0"/>
          <w:lang w:val="en-GB"/>
        </w:rPr>
        <w:t xml:space="preserve"> was caused by transparency in the figure (when multiple dots overlapped</w:t>
      </w:r>
      <w:r w:rsidR="3A53472F" w:rsidRPr="5BB6DCE0">
        <w:rPr>
          <w:i/>
          <w:iCs/>
          <w:color w:val="0070C0"/>
          <w:lang w:val="en-GB"/>
        </w:rPr>
        <w:t xml:space="preserve"> it looked darker). We have now fixed the transparency to avoid the effect </w:t>
      </w:r>
      <w:proofErr w:type="gramStart"/>
      <w:r w:rsidR="3A53472F" w:rsidRPr="5BB6DCE0">
        <w:rPr>
          <w:i/>
          <w:iCs/>
          <w:color w:val="0070C0"/>
          <w:lang w:val="en-GB"/>
        </w:rPr>
        <w:t>and also</w:t>
      </w:r>
      <w:proofErr w:type="gramEnd"/>
      <w:r w:rsidR="3A53472F" w:rsidRPr="5BB6DCE0">
        <w:rPr>
          <w:i/>
          <w:iCs/>
          <w:color w:val="0070C0"/>
          <w:lang w:val="en-GB"/>
        </w:rPr>
        <w:t xml:space="preserve"> corrected the discretization of the dots in the figure </w:t>
      </w:r>
      <w:r w:rsidR="0DDF91D2" w:rsidRPr="5BB6DCE0">
        <w:rPr>
          <w:i/>
          <w:iCs/>
          <w:color w:val="0070C0"/>
          <w:lang w:val="en-GB"/>
        </w:rPr>
        <w:t>which</w:t>
      </w:r>
      <w:r w:rsidR="3A53472F" w:rsidRPr="5BB6DCE0">
        <w:rPr>
          <w:i/>
          <w:iCs/>
          <w:color w:val="0070C0"/>
          <w:lang w:val="en-GB"/>
        </w:rPr>
        <w:t xml:space="preserve"> was erroneously 0.01 while the models used 0.025.</w:t>
      </w:r>
    </w:p>
    <w:p w14:paraId="5FDADD04" w14:textId="77777777" w:rsidR="00EC275E" w:rsidRPr="00BB1A0B" w:rsidRDefault="00EC275E" w:rsidP="00907257">
      <w:pPr>
        <w:jc w:val="both"/>
        <w:rPr>
          <w:i/>
          <w:iCs/>
          <w:color w:val="0070C0"/>
        </w:rPr>
      </w:pPr>
    </w:p>
    <w:p w14:paraId="49A41401" w14:textId="77777777" w:rsidR="00BB1A0B" w:rsidRDefault="2DBC5521" w:rsidP="7F1BB2FD">
      <w:pPr>
        <w:jc w:val="both"/>
        <w:rPr>
          <w:color w:val="000000"/>
        </w:rPr>
      </w:pPr>
      <w:bookmarkStart w:id="1" w:name="OLE_LINK3"/>
      <w:r w:rsidRPr="7F1BB2FD">
        <w:rPr>
          <w:color w:val="000000" w:themeColor="text1"/>
        </w:rPr>
        <w:t>Point 14: Line 584: It would be useful to show snapshot figures for the variable-Mc forecasts, possibly in the Supplementary Information.</w:t>
      </w:r>
    </w:p>
    <w:bookmarkEnd w:id="1"/>
    <w:p w14:paraId="6ADF9CD1" w14:textId="3B83B2DC" w:rsidR="00907257" w:rsidRDefault="1F6C084F" w:rsidP="7F1BB2FD">
      <w:pPr>
        <w:jc w:val="both"/>
        <w:rPr>
          <w:i/>
          <w:iCs/>
          <w:color w:val="0070C0"/>
        </w:rPr>
      </w:pPr>
      <w:r w:rsidRPr="7F1BB2FD">
        <w:rPr>
          <w:i/>
          <w:iCs/>
          <w:color w:val="0070C0"/>
        </w:rPr>
        <w:t>We have added the suggested figure in the supplementary as Figure S</w:t>
      </w:r>
      <w:r w:rsidR="06BAD0E0" w:rsidRPr="7F1BB2FD">
        <w:rPr>
          <w:i/>
          <w:iCs/>
          <w:color w:val="0070C0"/>
        </w:rPr>
        <w:t>8</w:t>
      </w:r>
      <w:r w:rsidRPr="7F1BB2FD">
        <w:rPr>
          <w:i/>
          <w:iCs/>
          <w:color w:val="0070C0"/>
        </w:rPr>
        <w:t>.</w:t>
      </w:r>
    </w:p>
    <w:p w14:paraId="70849AE2" w14:textId="77777777" w:rsidR="00522127" w:rsidRPr="00BB1A0B" w:rsidRDefault="00522127" w:rsidP="00907257">
      <w:pPr>
        <w:jc w:val="both"/>
        <w:rPr>
          <w:color w:val="000000"/>
        </w:rPr>
      </w:pPr>
    </w:p>
    <w:p w14:paraId="36A0476D" w14:textId="77777777" w:rsidR="00BB1A0B" w:rsidRDefault="00BB1A0B" w:rsidP="00907257">
      <w:pPr>
        <w:jc w:val="both"/>
        <w:rPr>
          <w:color w:val="000000"/>
        </w:rPr>
      </w:pPr>
      <w:r w:rsidRPr="00BB1A0B">
        <w:rPr>
          <w:color w:val="000000"/>
        </w:rPr>
        <w:t>Point 15: Lines 717–718: Please report the computational time and hardware specifications used for each model. Also, “much faster the time …” should be “much faster than the time …”</w:t>
      </w:r>
    </w:p>
    <w:p w14:paraId="0F218A12" w14:textId="16DA2F54" w:rsidR="00EC275E" w:rsidRPr="00BB1A0B" w:rsidRDefault="46FD24E0" w:rsidP="7F1BB2FD">
      <w:pPr>
        <w:jc w:val="both"/>
        <w:rPr>
          <w:i/>
          <w:iCs/>
          <w:color w:val="0070C0"/>
        </w:rPr>
      </w:pPr>
      <w:r w:rsidRPr="7F1BB2FD">
        <w:rPr>
          <w:i/>
          <w:iCs/>
          <w:color w:val="0070C0"/>
          <w:lang w:val="en-GB"/>
        </w:rPr>
        <w:t xml:space="preserve">The averaged time are now reported </w:t>
      </w:r>
      <w:r w:rsidR="006D78DE">
        <w:rPr>
          <w:i/>
          <w:iCs/>
          <w:color w:val="0070C0"/>
          <w:lang w:val="en-GB"/>
        </w:rPr>
        <w:t>(</w:t>
      </w:r>
      <w:r w:rsidR="005515D5">
        <w:rPr>
          <w:i/>
          <w:iCs/>
          <w:color w:val="0070C0"/>
          <w:lang w:val="en-GB"/>
        </w:rPr>
        <w:t>Lines 718-722 of the annotated manuscript). We</w:t>
      </w:r>
      <w:r w:rsidRPr="7F1BB2FD">
        <w:rPr>
          <w:i/>
          <w:iCs/>
          <w:color w:val="0070C0"/>
          <w:lang w:val="en-GB"/>
        </w:rPr>
        <w:t xml:space="preserve"> refer to Clasen-</w:t>
      </w:r>
      <w:proofErr w:type="spellStart"/>
      <w:r w:rsidRPr="7F1BB2FD">
        <w:rPr>
          <w:i/>
          <w:iCs/>
          <w:color w:val="0070C0"/>
          <w:lang w:val="en-GB"/>
        </w:rPr>
        <w:t>Repolles</w:t>
      </w:r>
      <w:proofErr w:type="spellEnd"/>
      <w:r w:rsidRPr="7F1BB2FD">
        <w:rPr>
          <w:i/>
          <w:iCs/>
          <w:color w:val="0070C0"/>
          <w:lang w:val="en-GB"/>
        </w:rPr>
        <w:t xml:space="preserve"> et al. (2025) </w:t>
      </w:r>
      <w:r w:rsidR="697B50FE" w:rsidRPr="7F1BB2FD">
        <w:rPr>
          <w:i/>
          <w:iCs/>
          <w:color w:val="0070C0"/>
          <w:lang w:val="en-GB"/>
        </w:rPr>
        <w:t xml:space="preserve">for more details on </w:t>
      </w:r>
      <w:r w:rsidRPr="7F1BB2FD">
        <w:rPr>
          <w:i/>
          <w:iCs/>
          <w:color w:val="0070C0"/>
          <w:lang w:val="en-GB"/>
        </w:rPr>
        <w:t>the time performance of the vari</w:t>
      </w:r>
      <w:r w:rsidR="3092A815" w:rsidRPr="7F1BB2FD">
        <w:rPr>
          <w:i/>
          <w:iCs/>
          <w:color w:val="0070C0"/>
          <w:lang w:val="en-GB"/>
        </w:rPr>
        <w:t>ous model.</w:t>
      </w:r>
    </w:p>
    <w:p w14:paraId="3838CC39" w14:textId="77777777" w:rsidR="00EC275E" w:rsidRPr="00BB1A0B" w:rsidRDefault="00EC275E" w:rsidP="00907257">
      <w:pPr>
        <w:jc w:val="both"/>
        <w:rPr>
          <w:color w:val="000000"/>
        </w:rPr>
      </w:pPr>
    </w:p>
    <w:p w14:paraId="3DE0EB00" w14:textId="722928C1" w:rsidR="00907257" w:rsidRDefault="00BB1A0B" w:rsidP="00907257">
      <w:pPr>
        <w:jc w:val="both"/>
        <w:rPr>
          <w:color w:val="000000"/>
        </w:rPr>
      </w:pPr>
      <w:r w:rsidRPr="00BB1A0B">
        <w:rPr>
          <w:color w:val="000000"/>
        </w:rPr>
        <w:t> </w:t>
      </w:r>
      <w:r w:rsidR="00907257">
        <w:rPr>
          <w:color w:val="000000"/>
        </w:rPr>
        <w:br w:type="page"/>
      </w:r>
    </w:p>
    <w:p w14:paraId="78A446FF" w14:textId="77777777" w:rsidR="00BB1A0B" w:rsidRDefault="00BB1A0B" w:rsidP="00907257">
      <w:pPr>
        <w:jc w:val="both"/>
        <w:rPr>
          <w:color w:val="000000"/>
          <w:u w:val="single"/>
        </w:rPr>
      </w:pPr>
      <w:r w:rsidRPr="00BB1A0B">
        <w:rPr>
          <w:color w:val="000000"/>
          <w:u w:val="single"/>
        </w:rPr>
        <w:lastRenderedPageBreak/>
        <w:t>REVIEWER #2</w:t>
      </w:r>
    </w:p>
    <w:p w14:paraId="6F27F238" w14:textId="77777777" w:rsidR="00907257" w:rsidRPr="00BB1A0B" w:rsidRDefault="00907257" w:rsidP="00907257">
      <w:pPr>
        <w:jc w:val="both"/>
        <w:rPr>
          <w:color w:val="000000"/>
        </w:rPr>
      </w:pPr>
    </w:p>
    <w:p w14:paraId="5144A956" w14:textId="77777777" w:rsidR="00BB1A0B" w:rsidRPr="00BB1A0B" w:rsidRDefault="00BB1A0B" w:rsidP="00907257">
      <w:pPr>
        <w:jc w:val="both"/>
        <w:rPr>
          <w:color w:val="000000"/>
        </w:rPr>
      </w:pPr>
      <w:r w:rsidRPr="00BB1A0B">
        <w:rPr>
          <w:color w:val="000000"/>
        </w:rPr>
        <w:t>Review of the research article “The 2022 hydraulic stimulation at Utah FORGE: investigating fracturing mechanisms and testing forecasting approaches” by Lanza et al. (2020).</w:t>
      </w:r>
    </w:p>
    <w:p w14:paraId="52211618" w14:textId="77777777" w:rsidR="00BB1A0B" w:rsidRDefault="00BB1A0B" w:rsidP="00907257">
      <w:pPr>
        <w:jc w:val="both"/>
        <w:rPr>
          <w:color w:val="000000"/>
        </w:rPr>
      </w:pPr>
      <w:r w:rsidRPr="00BB1A0B">
        <w:rPr>
          <w:color w:val="000000"/>
        </w:rPr>
        <w:t>This study analyzes the seismicity associated with the Stage 3 hydraulic stimulation at the Utah FORGE site and evaluates several forecasting models, among which the HM1D model shows particularly promising performance. The manuscript is very well written, with a clearly defined objective, logical structure, well-explained methodology, and high completeness. My comments are minor given my limited expertise.</w:t>
      </w:r>
    </w:p>
    <w:p w14:paraId="5273F976" w14:textId="77777777" w:rsidR="00EC275E" w:rsidRPr="00BB1A0B" w:rsidRDefault="00EC275E" w:rsidP="00907257">
      <w:pPr>
        <w:jc w:val="both"/>
        <w:rPr>
          <w:color w:val="000000"/>
        </w:rPr>
      </w:pPr>
    </w:p>
    <w:p w14:paraId="5A5965FE" w14:textId="77777777" w:rsidR="00BB1A0B" w:rsidRDefault="00BB1A0B" w:rsidP="00907257">
      <w:pPr>
        <w:jc w:val="both"/>
        <w:rPr>
          <w:color w:val="000000"/>
        </w:rPr>
      </w:pPr>
      <w:r w:rsidRPr="00BB1A0B">
        <w:rPr>
          <w:color w:val="000000"/>
        </w:rPr>
        <w:t>Comments</w:t>
      </w:r>
    </w:p>
    <w:p w14:paraId="21C5A9BF" w14:textId="77777777" w:rsidR="00EC275E" w:rsidRPr="00BB1A0B" w:rsidRDefault="00EC275E" w:rsidP="00907257">
      <w:pPr>
        <w:jc w:val="both"/>
        <w:rPr>
          <w:color w:val="000000"/>
        </w:rPr>
      </w:pPr>
    </w:p>
    <w:p w14:paraId="32AAA1DB" w14:textId="77777777" w:rsidR="00BB1A0B" w:rsidRDefault="00BB1A0B" w:rsidP="00907257">
      <w:pPr>
        <w:jc w:val="both"/>
        <w:rPr>
          <w:color w:val="000000"/>
        </w:rPr>
      </w:pPr>
      <w:r w:rsidRPr="00BB1A0B">
        <w:rPr>
          <w:color w:val="000000"/>
        </w:rPr>
        <w:t>L162: I suggest noting that 16</w:t>
      </w:r>
      <w:proofErr w:type="gramStart"/>
      <w:r w:rsidRPr="00BB1A0B">
        <w:rPr>
          <w:color w:val="000000"/>
        </w:rPr>
        <w:t>A(</w:t>
      </w:r>
      <w:proofErr w:type="gramEnd"/>
      <w:r w:rsidRPr="00BB1A0B">
        <w:rPr>
          <w:color w:val="000000"/>
        </w:rPr>
        <w:t>78)-32 is labeled as 16A-32 in Figure 1.</w:t>
      </w:r>
    </w:p>
    <w:p w14:paraId="2514024B" w14:textId="7D5EF0E1" w:rsidR="00EC275E" w:rsidRDefault="00DD1029" w:rsidP="00907257">
      <w:pPr>
        <w:jc w:val="both"/>
        <w:rPr>
          <w:i/>
          <w:iCs/>
          <w:color w:val="0070C0"/>
        </w:rPr>
      </w:pPr>
      <w:r>
        <w:rPr>
          <w:i/>
          <w:iCs/>
          <w:color w:val="0070C0"/>
        </w:rPr>
        <w:t>We have corrected the labels in the Figure as well as in the caption. We also noticed that 16B-32 should be 16B (78)-32. This has been also corrected.</w:t>
      </w:r>
    </w:p>
    <w:p w14:paraId="700EFB55" w14:textId="77777777" w:rsidR="00EC275E" w:rsidRPr="00BB1A0B" w:rsidRDefault="00EC275E" w:rsidP="00907257">
      <w:pPr>
        <w:jc w:val="both"/>
        <w:rPr>
          <w:color w:val="000000"/>
        </w:rPr>
      </w:pPr>
    </w:p>
    <w:p w14:paraId="57102D91" w14:textId="77777777" w:rsidR="00BB1A0B" w:rsidRDefault="00BB1A0B" w:rsidP="00907257">
      <w:pPr>
        <w:jc w:val="both"/>
        <w:rPr>
          <w:color w:val="000000"/>
        </w:rPr>
      </w:pPr>
      <w:r w:rsidRPr="00BB1A0B">
        <w:rPr>
          <w:color w:val="000000"/>
        </w:rPr>
        <w:t>L260: Should be “-pi/2”.</w:t>
      </w:r>
    </w:p>
    <w:p w14:paraId="69BDC486" w14:textId="3B447EA8" w:rsidR="00EC275E" w:rsidRDefault="00EC275E" w:rsidP="00907257">
      <w:pPr>
        <w:jc w:val="both"/>
        <w:rPr>
          <w:i/>
          <w:iCs/>
          <w:color w:val="0070C0"/>
        </w:rPr>
      </w:pPr>
      <w:r w:rsidRPr="00EC275E">
        <w:rPr>
          <w:i/>
          <w:iCs/>
          <w:color w:val="0070C0"/>
        </w:rPr>
        <w:t>Done.</w:t>
      </w:r>
    </w:p>
    <w:p w14:paraId="376D672B" w14:textId="77777777" w:rsidR="00EC275E" w:rsidRPr="00BB1A0B" w:rsidRDefault="00EC275E" w:rsidP="00907257">
      <w:pPr>
        <w:jc w:val="both"/>
        <w:rPr>
          <w:i/>
          <w:iCs/>
          <w:color w:val="0070C0"/>
        </w:rPr>
      </w:pPr>
    </w:p>
    <w:p w14:paraId="22B0F9CE" w14:textId="77777777" w:rsidR="00BB1A0B" w:rsidRDefault="2DBC5521" w:rsidP="7F1BB2FD">
      <w:pPr>
        <w:jc w:val="both"/>
        <w:rPr>
          <w:color w:val="000000"/>
        </w:rPr>
      </w:pPr>
      <w:r w:rsidRPr="7F1BB2FD">
        <w:rPr>
          <w:color w:val="000000" w:themeColor="text1"/>
        </w:rPr>
        <w:t xml:space="preserve">L272: n → v, m → μ; </w:t>
      </w:r>
      <w:proofErr w:type="spellStart"/>
      <w:r w:rsidRPr="7F1BB2FD">
        <w:rPr>
          <w:color w:val="000000" w:themeColor="text1"/>
        </w:rPr>
        <w:t>k_psc</w:t>
      </w:r>
      <w:proofErr w:type="spellEnd"/>
      <w:r w:rsidRPr="7F1BB2FD">
        <w:rPr>
          <w:color w:val="000000" w:themeColor="text1"/>
        </w:rPr>
        <w:t xml:space="preserve"> is not explained.</w:t>
      </w:r>
    </w:p>
    <w:p w14:paraId="527935FC" w14:textId="77777777" w:rsidR="00F3094A" w:rsidRPr="00F25B4D" w:rsidRDefault="00F3094A" w:rsidP="00F3094A">
      <w:pPr>
        <w:jc w:val="both"/>
        <w:rPr>
          <w:i/>
          <w:color w:val="0070C0"/>
        </w:rPr>
      </w:pPr>
      <w:r>
        <w:rPr>
          <w:i/>
          <w:color w:val="0070C0"/>
        </w:rPr>
        <w:t xml:space="preserve">Corrected. </w:t>
      </w:r>
    </w:p>
    <w:p w14:paraId="04DAC73E" w14:textId="77777777" w:rsidR="007906FD" w:rsidRPr="00BB1A0B" w:rsidRDefault="007906FD" w:rsidP="00907257">
      <w:pPr>
        <w:jc w:val="both"/>
        <w:rPr>
          <w:i/>
          <w:iCs/>
          <w:color w:val="0070C0"/>
        </w:rPr>
      </w:pPr>
    </w:p>
    <w:p w14:paraId="7A6C1D6A" w14:textId="77777777" w:rsidR="00BB1A0B" w:rsidRDefault="00BB1A0B" w:rsidP="00907257">
      <w:pPr>
        <w:jc w:val="both"/>
        <w:rPr>
          <w:color w:val="000000"/>
        </w:rPr>
      </w:pPr>
      <w:r w:rsidRPr="00BB1A0B">
        <w:rPr>
          <w:color w:val="000000"/>
        </w:rPr>
        <w:t>L434: Typo: “, however”.</w:t>
      </w:r>
    </w:p>
    <w:p w14:paraId="03FF1036" w14:textId="11B19870" w:rsidR="007906FD" w:rsidRPr="007906FD" w:rsidRDefault="007906FD" w:rsidP="00907257">
      <w:pPr>
        <w:jc w:val="both"/>
        <w:rPr>
          <w:i/>
          <w:iCs/>
          <w:color w:val="0070C0"/>
        </w:rPr>
      </w:pPr>
      <w:r w:rsidRPr="007906FD">
        <w:rPr>
          <w:i/>
          <w:iCs/>
          <w:color w:val="0070C0"/>
        </w:rPr>
        <w:t xml:space="preserve">Corrected. </w:t>
      </w:r>
    </w:p>
    <w:p w14:paraId="429C759B" w14:textId="77777777" w:rsidR="007906FD" w:rsidRPr="00BB1A0B" w:rsidRDefault="007906FD" w:rsidP="00907257">
      <w:pPr>
        <w:jc w:val="both"/>
        <w:rPr>
          <w:color w:val="000000"/>
        </w:rPr>
      </w:pPr>
    </w:p>
    <w:p w14:paraId="20B15396" w14:textId="77777777" w:rsidR="00BB1A0B" w:rsidRDefault="00BB1A0B" w:rsidP="00907257">
      <w:pPr>
        <w:jc w:val="both"/>
        <w:rPr>
          <w:color w:val="000000"/>
        </w:rPr>
      </w:pPr>
      <w:r w:rsidRPr="00BB1A0B">
        <w:rPr>
          <w:color w:val="000000"/>
        </w:rPr>
        <w:t>L451: Please label the two lobes in Fig. 3b and 3c.</w:t>
      </w:r>
    </w:p>
    <w:p w14:paraId="54D20B96" w14:textId="1C1E6B51" w:rsidR="007906FD" w:rsidRPr="00B558B2" w:rsidRDefault="00016F59" w:rsidP="5BB6DCE0">
      <w:pPr>
        <w:jc w:val="both"/>
        <w:rPr>
          <w:i/>
          <w:iCs/>
          <w:color w:val="0070C0"/>
          <w:lang w:val="en-GB"/>
        </w:rPr>
      </w:pPr>
      <w:r w:rsidRPr="00397DBA">
        <w:rPr>
          <w:i/>
          <w:iCs/>
          <w:color w:val="0070C0"/>
        </w:rPr>
        <w:t xml:space="preserve">As the figure is already </w:t>
      </w:r>
      <w:r w:rsidR="00397DBA" w:rsidRPr="00397DBA">
        <w:rPr>
          <w:i/>
          <w:iCs/>
          <w:color w:val="0070C0"/>
        </w:rPr>
        <w:t xml:space="preserve">quite busy, we prefer not to overcrowd the figure with additional </w:t>
      </w:r>
      <w:r w:rsidR="00F03CC8" w:rsidRPr="00397DBA">
        <w:rPr>
          <w:i/>
          <w:iCs/>
          <w:color w:val="0070C0"/>
        </w:rPr>
        <w:t>labels and</w:t>
      </w:r>
      <w:r w:rsidR="00397DBA">
        <w:rPr>
          <w:i/>
          <w:iCs/>
          <w:color w:val="0070C0"/>
        </w:rPr>
        <w:t xml:space="preserve"> refer to reader to the Movie. </w:t>
      </w:r>
    </w:p>
    <w:p w14:paraId="15D55383" w14:textId="77777777" w:rsidR="007906FD" w:rsidRPr="00B558B2" w:rsidRDefault="007906FD" w:rsidP="00907257">
      <w:pPr>
        <w:jc w:val="both"/>
        <w:rPr>
          <w:color w:val="000000"/>
        </w:rPr>
      </w:pPr>
    </w:p>
    <w:p w14:paraId="4DE06082" w14:textId="77777777" w:rsidR="00BB1A0B" w:rsidRPr="00755826" w:rsidRDefault="00BB1A0B" w:rsidP="00907257">
      <w:pPr>
        <w:jc w:val="both"/>
        <w:rPr>
          <w:color w:val="000000"/>
        </w:rPr>
      </w:pPr>
      <w:r w:rsidRPr="00755826">
        <w:rPr>
          <w:color w:val="000000"/>
        </w:rPr>
        <w:t>L465: strike = N15°E.</w:t>
      </w:r>
    </w:p>
    <w:p w14:paraId="61C4203C" w14:textId="77777777" w:rsidR="007906FD" w:rsidRPr="007906FD" w:rsidRDefault="007906FD" w:rsidP="007906FD">
      <w:pPr>
        <w:jc w:val="both"/>
        <w:rPr>
          <w:i/>
          <w:iCs/>
          <w:color w:val="0070C0"/>
        </w:rPr>
      </w:pPr>
      <w:r w:rsidRPr="007906FD">
        <w:rPr>
          <w:i/>
          <w:iCs/>
          <w:color w:val="0070C0"/>
        </w:rPr>
        <w:t xml:space="preserve">Corrected. </w:t>
      </w:r>
    </w:p>
    <w:p w14:paraId="058F33D5" w14:textId="77777777" w:rsidR="007906FD" w:rsidRPr="00BB1A0B" w:rsidRDefault="007906FD" w:rsidP="00907257">
      <w:pPr>
        <w:jc w:val="both"/>
        <w:rPr>
          <w:color w:val="000000"/>
        </w:rPr>
      </w:pPr>
    </w:p>
    <w:p w14:paraId="33E32BDA" w14:textId="77777777" w:rsidR="00BB1A0B" w:rsidRDefault="00BB1A0B" w:rsidP="00907257">
      <w:pPr>
        <w:jc w:val="both"/>
        <w:rPr>
          <w:color w:val="000000"/>
        </w:rPr>
      </w:pPr>
      <w:r w:rsidRPr="00BB1A0B">
        <w:rPr>
          <w:color w:val="000000"/>
        </w:rPr>
        <w:t>L466: Does this refer to a dipping angle of 80°?</w:t>
      </w:r>
    </w:p>
    <w:p w14:paraId="2077FFC8" w14:textId="77777777" w:rsidR="00664DDB" w:rsidRPr="00F25B4D" w:rsidRDefault="00664DDB" w:rsidP="5BB6DCE0">
      <w:pPr>
        <w:jc w:val="both"/>
        <w:rPr>
          <w:i/>
          <w:iCs/>
          <w:color w:val="0070C0"/>
          <w:lang w:val="en-GB"/>
        </w:rPr>
      </w:pPr>
      <w:r w:rsidRPr="5BB6DCE0">
        <w:rPr>
          <w:i/>
          <w:iCs/>
          <w:color w:val="0070C0"/>
          <w:lang w:val="en-GB"/>
        </w:rPr>
        <w:t xml:space="preserve">Corrected </w:t>
      </w:r>
      <w:proofErr w:type="gramStart"/>
      <w:r w:rsidRPr="5BB6DCE0">
        <w:rPr>
          <w:i/>
          <w:iCs/>
          <w:color w:val="0070C0"/>
          <w:lang w:val="en-GB"/>
        </w:rPr>
        <w:t>to</w:t>
      </w:r>
      <w:proofErr w:type="gramEnd"/>
      <w:r w:rsidRPr="5BB6DCE0">
        <w:rPr>
          <w:i/>
          <w:iCs/>
          <w:color w:val="0070C0"/>
          <w:lang w:val="en-GB"/>
        </w:rPr>
        <w:t xml:space="preserve"> 80</w:t>
      </w:r>
      <w:r w:rsidRPr="5BB6DCE0">
        <w:rPr>
          <w:i/>
          <w:iCs/>
          <w:color w:val="0070C0"/>
          <w:vertAlign w:val="superscript"/>
          <w:lang w:val="en-GB"/>
        </w:rPr>
        <w:t>o</w:t>
      </w:r>
      <w:r w:rsidRPr="5BB6DCE0">
        <w:rPr>
          <w:i/>
          <w:iCs/>
          <w:color w:val="0070C0"/>
          <w:lang w:val="en-GB"/>
        </w:rPr>
        <w:t>only.</w:t>
      </w:r>
    </w:p>
    <w:p w14:paraId="1E5C900E" w14:textId="77777777" w:rsidR="007906FD" w:rsidRPr="00BB1A0B" w:rsidRDefault="007906FD" w:rsidP="00907257">
      <w:pPr>
        <w:jc w:val="both"/>
        <w:rPr>
          <w:color w:val="000000"/>
        </w:rPr>
      </w:pPr>
    </w:p>
    <w:p w14:paraId="2D160EC2" w14:textId="77777777" w:rsidR="00BB1A0B" w:rsidRDefault="00BB1A0B" w:rsidP="00907257">
      <w:pPr>
        <w:jc w:val="both"/>
        <w:rPr>
          <w:color w:val="000000"/>
        </w:rPr>
      </w:pPr>
      <w:r w:rsidRPr="00BB1A0B">
        <w:rPr>
          <w:color w:val="000000"/>
        </w:rPr>
        <w:t>L579: “observed rate final number of events” → “observed final number of events”.</w:t>
      </w:r>
    </w:p>
    <w:p w14:paraId="03F4315C" w14:textId="630A4023" w:rsidR="007906FD" w:rsidRPr="007906FD" w:rsidRDefault="2998A0EF" w:rsidP="7F1BB2FD">
      <w:pPr>
        <w:jc w:val="both"/>
        <w:rPr>
          <w:i/>
          <w:iCs/>
          <w:color w:val="0070C0"/>
        </w:rPr>
      </w:pPr>
      <w:r w:rsidRPr="7F1BB2FD">
        <w:rPr>
          <w:i/>
          <w:iCs/>
          <w:color w:val="0070C0"/>
        </w:rPr>
        <w:t>Done. Thanks for catching this!</w:t>
      </w:r>
    </w:p>
    <w:p w14:paraId="358B2602" w14:textId="77777777" w:rsidR="007906FD" w:rsidRPr="00BB1A0B" w:rsidRDefault="007906FD" w:rsidP="00907257">
      <w:pPr>
        <w:jc w:val="both"/>
        <w:rPr>
          <w:color w:val="000000"/>
        </w:rPr>
      </w:pPr>
    </w:p>
    <w:p w14:paraId="4240E3AC" w14:textId="77777777" w:rsidR="00BB1A0B" w:rsidRDefault="00BB1A0B" w:rsidP="00907257">
      <w:pPr>
        <w:jc w:val="both"/>
        <w:rPr>
          <w:color w:val="000000"/>
        </w:rPr>
      </w:pPr>
      <w:r w:rsidRPr="00BB1A0B">
        <w:rPr>
          <w:color w:val="000000"/>
        </w:rPr>
        <w:t>L580: Consider moving the sentence “Red color indicates a failed N-test”.</w:t>
      </w:r>
    </w:p>
    <w:p w14:paraId="61D2EDB2" w14:textId="3C381CB8" w:rsidR="007906FD" w:rsidRPr="00BB1A0B" w:rsidRDefault="003F5E07" w:rsidP="007906FD">
      <w:pPr>
        <w:jc w:val="both"/>
        <w:rPr>
          <w:color w:val="000000"/>
        </w:rPr>
      </w:pPr>
      <w:r>
        <w:rPr>
          <w:i/>
          <w:iCs/>
          <w:color w:val="0070C0"/>
        </w:rPr>
        <w:t xml:space="preserve">For </w:t>
      </w:r>
      <w:r w:rsidR="007F340E">
        <w:rPr>
          <w:i/>
          <w:iCs/>
          <w:color w:val="0070C0"/>
        </w:rPr>
        <w:t xml:space="preserve">clarity we prefer to retain the sentence. </w:t>
      </w:r>
    </w:p>
    <w:p w14:paraId="7FCE2803" w14:textId="77777777" w:rsidR="007906FD" w:rsidRPr="00BB1A0B" w:rsidRDefault="007906FD" w:rsidP="00907257">
      <w:pPr>
        <w:jc w:val="both"/>
        <w:rPr>
          <w:color w:val="000000"/>
        </w:rPr>
      </w:pPr>
    </w:p>
    <w:p w14:paraId="4E6B03FE" w14:textId="77777777" w:rsidR="00BB1A0B" w:rsidRDefault="00BB1A0B" w:rsidP="00907257">
      <w:pPr>
        <w:jc w:val="both"/>
        <w:rPr>
          <w:color w:val="000000"/>
        </w:rPr>
      </w:pPr>
      <w:r w:rsidRPr="00BB1A0B">
        <w:rPr>
          <w:color w:val="000000"/>
        </w:rPr>
        <w:t>L599: Does this refer to Figure 4?</w:t>
      </w:r>
    </w:p>
    <w:p w14:paraId="795F16EA" w14:textId="43DF95DA" w:rsidR="007906FD" w:rsidRPr="007906FD" w:rsidRDefault="007906FD" w:rsidP="00907257">
      <w:pPr>
        <w:jc w:val="both"/>
        <w:rPr>
          <w:i/>
          <w:iCs/>
          <w:color w:val="0070C0"/>
        </w:rPr>
      </w:pPr>
      <w:r w:rsidRPr="007906FD">
        <w:rPr>
          <w:i/>
          <w:iCs/>
          <w:color w:val="0070C0"/>
        </w:rPr>
        <w:t xml:space="preserve">Yes, we have corrected it. </w:t>
      </w:r>
    </w:p>
    <w:p w14:paraId="43B72F5F" w14:textId="77777777" w:rsidR="007906FD" w:rsidRPr="00BB1A0B" w:rsidRDefault="007906FD" w:rsidP="00907257">
      <w:pPr>
        <w:jc w:val="both"/>
        <w:rPr>
          <w:color w:val="000000"/>
        </w:rPr>
      </w:pPr>
    </w:p>
    <w:p w14:paraId="7A84FE30" w14:textId="77777777" w:rsidR="00BB1A0B" w:rsidRDefault="00BB1A0B" w:rsidP="00907257">
      <w:pPr>
        <w:jc w:val="both"/>
        <w:rPr>
          <w:color w:val="000000"/>
        </w:rPr>
      </w:pPr>
      <w:r w:rsidRPr="00BB1A0B">
        <w:rPr>
          <w:color w:val="000000"/>
        </w:rPr>
        <w:t>L604: “A hydro-fracture generated …”.</w:t>
      </w:r>
    </w:p>
    <w:p w14:paraId="146242E6" w14:textId="55609565" w:rsidR="005F3070" w:rsidRPr="005F3070" w:rsidRDefault="005F3070" w:rsidP="00907257">
      <w:pPr>
        <w:jc w:val="both"/>
        <w:rPr>
          <w:i/>
          <w:iCs/>
          <w:color w:val="0070C0"/>
        </w:rPr>
      </w:pPr>
      <w:r w:rsidRPr="005F3070">
        <w:rPr>
          <w:i/>
          <w:iCs/>
          <w:color w:val="0070C0"/>
        </w:rPr>
        <w:t>Corrected, we have added commas for clarity</w:t>
      </w:r>
    </w:p>
    <w:p w14:paraId="1F868531" w14:textId="77777777" w:rsidR="005F3070" w:rsidRPr="00BB1A0B" w:rsidRDefault="005F3070" w:rsidP="00907257">
      <w:pPr>
        <w:jc w:val="both"/>
        <w:rPr>
          <w:color w:val="000000"/>
        </w:rPr>
      </w:pPr>
    </w:p>
    <w:p w14:paraId="5B186C40" w14:textId="77777777" w:rsidR="00BB1A0B" w:rsidRDefault="00BB1A0B" w:rsidP="00907257">
      <w:pPr>
        <w:jc w:val="both"/>
        <w:rPr>
          <w:color w:val="000000"/>
        </w:rPr>
      </w:pPr>
      <w:r w:rsidRPr="00BB1A0B">
        <w:rPr>
          <w:color w:val="000000"/>
        </w:rPr>
        <w:t>L719: “..” → “.”</w:t>
      </w:r>
    </w:p>
    <w:p w14:paraId="1E3960F8" w14:textId="77777777" w:rsidR="005F3070" w:rsidRDefault="005F3070" w:rsidP="005F3070">
      <w:pPr>
        <w:jc w:val="both"/>
        <w:rPr>
          <w:i/>
          <w:iCs/>
          <w:color w:val="0070C0"/>
        </w:rPr>
      </w:pPr>
      <w:r w:rsidRPr="00EC275E">
        <w:rPr>
          <w:i/>
          <w:iCs/>
          <w:color w:val="0070C0"/>
        </w:rPr>
        <w:t>Done.</w:t>
      </w:r>
    </w:p>
    <w:p w14:paraId="0EE54A5E" w14:textId="77777777" w:rsidR="005F3070" w:rsidRPr="00BB1A0B" w:rsidRDefault="005F3070" w:rsidP="00907257">
      <w:pPr>
        <w:jc w:val="both"/>
        <w:rPr>
          <w:color w:val="000000"/>
        </w:rPr>
      </w:pPr>
    </w:p>
    <w:p w14:paraId="52FDB3FB" w14:textId="77777777" w:rsidR="00BB1A0B" w:rsidRPr="00BB1A0B" w:rsidRDefault="00BB1A0B" w:rsidP="00907257">
      <w:pPr>
        <w:jc w:val="both"/>
        <w:rPr>
          <w:color w:val="000000"/>
        </w:rPr>
      </w:pPr>
      <w:r w:rsidRPr="00BB1A0B">
        <w:rPr>
          <w:color w:val="000000"/>
        </w:rPr>
        <w:lastRenderedPageBreak/>
        <w:t>Figures</w:t>
      </w:r>
    </w:p>
    <w:p w14:paraId="6A679E16" w14:textId="43B1D419" w:rsidR="005F3070" w:rsidRDefault="00BB1A0B" w:rsidP="00907257">
      <w:pPr>
        <w:jc w:val="both"/>
        <w:rPr>
          <w:color w:val="000000"/>
        </w:rPr>
      </w:pPr>
      <w:bookmarkStart w:id="2" w:name="OLE_LINK4"/>
      <w:r w:rsidRPr="00BB1A0B">
        <w:rPr>
          <w:color w:val="000000"/>
        </w:rPr>
        <w:t>Panel notation “(a), (b), …” or “a), b), …” should be used consistently across all figures</w:t>
      </w:r>
      <w:bookmarkEnd w:id="2"/>
      <w:r w:rsidRPr="00BB1A0B">
        <w:rPr>
          <w:color w:val="000000"/>
        </w:rPr>
        <w:t>.</w:t>
      </w:r>
    </w:p>
    <w:p w14:paraId="059AFA80" w14:textId="4239B76A" w:rsidR="005F3070" w:rsidRPr="00152123" w:rsidRDefault="00152123" w:rsidP="00907257">
      <w:pPr>
        <w:jc w:val="both"/>
        <w:rPr>
          <w:i/>
          <w:color w:val="0070C0"/>
        </w:rPr>
      </w:pPr>
      <w:r w:rsidRPr="00152123">
        <w:rPr>
          <w:i/>
          <w:iCs/>
          <w:color w:val="0070C0"/>
        </w:rPr>
        <w:t>All figures have now the same panel notation a), b), etc.</w:t>
      </w:r>
    </w:p>
    <w:p w14:paraId="01E2BC93" w14:textId="77777777" w:rsidR="00152123" w:rsidRPr="00BB1A0B" w:rsidRDefault="00152123" w:rsidP="00907257">
      <w:pPr>
        <w:jc w:val="both"/>
        <w:rPr>
          <w:color w:val="000000"/>
        </w:rPr>
      </w:pPr>
    </w:p>
    <w:p w14:paraId="00427CE1" w14:textId="77777777" w:rsidR="00BB1A0B" w:rsidRDefault="00BB1A0B" w:rsidP="00907257">
      <w:pPr>
        <w:jc w:val="both"/>
        <w:rPr>
          <w:color w:val="000000"/>
        </w:rPr>
      </w:pPr>
      <w:r w:rsidRPr="00BB1A0B">
        <w:rPr>
          <w:color w:val="000000"/>
        </w:rPr>
        <w:t>I suggest adding panel labels for Figure 1.</w:t>
      </w:r>
    </w:p>
    <w:p w14:paraId="1010D3E7" w14:textId="45ECC802" w:rsidR="005F3070" w:rsidRDefault="00DD1029" w:rsidP="00907257">
      <w:pPr>
        <w:jc w:val="both"/>
        <w:rPr>
          <w:i/>
          <w:iCs/>
          <w:color w:val="0070C0"/>
        </w:rPr>
      </w:pPr>
      <w:r>
        <w:rPr>
          <w:i/>
          <w:iCs/>
          <w:color w:val="0070C0"/>
        </w:rPr>
        <w:t xml:space="preserve">Done. </w:t>
      </w:r>
    </w:p>
    <w:p w14:paraId="62706DA4" w14:textId="77777777" w:rsidR="005F3070" w:rsidRPr="00BB1A0B" w:rsidRDefault="005F3070" w:rsidP="00907257">
      <w:pPr>
        <w:jc w:val="both"/>
        <w:rPr>
          <w:i/>
          <w:iCs/>
          <w:color w:val="0070C0"/>
        </w:rPr>
      </w:pPr>
    </w:p>
    <w:p w14:paraId="11BD67B5" w14:textId="77777777" w:rsidR="00BB1A0B" w:rsidRDefault="00BB1A0B" w:rsidP="00907257">
      <w:pPr>
        <w:jc w:val="both"/>
        <w:rPr>
          <w:color w:val="000000"/>
        </w:rPr>
      </w:pPr>
      <w:r w:rsidRPr="00BB1A0B">
        <w:rPr>
          <w:color w:val="000000"/>
        </w:rPr>
        <w:t>Consider plotting along-strike distance instead of northing distance.</w:t>
      </w:r>
    </w:p>
    <w:p w14:paraId="127C8041" w14:textId="5F7E064D" w:rsidR="00E8785B" w:rsidRPr="00F25B4D" w:rsidRDefault="00E8785B" w:rsidP="00E8785B">
      <w:pPr>
        <w:jc w:val="both"/>
        <w:rPr>
          <w:i/>
          <w:color w:val="0070C0"/>
        </w:rPr>
      </w:pPr>
      <w:r>
        <w:rPr>
          <w:i/>
          <w:color w:val="0070C0"/>
        </w:rPr>
        <w:t>We prefer to use cartesian coordinates while showing the data and PCA fit. However, given that the strike angle is 15</w:t>
      </w:r>
      <w:r w:rsidRPr="00F25B4D">
        <w:rPr>
          <w:i/>
          <w:color w:val="0070C0"/>
          <w:vertAlign w:val="superscript"/>
        </w:rPr>
        <w:t>o</w:t>
      </w:r>
      <w:r>
        <w:rPr>
          <w:i/>
          <w:color w:val="0070C0"/>
        </w:rPr>
        <w:t xml:space="preserve"> the displayed results do not change much</w:t>
      </w:r>
      <w:r w:rsidR="00F001E5">
        <w:rPr>
          <w:i/>
          <w:color w:val="0070C0"/>
        </w:rPr>
        <w:t>.</w:t>
      </w:r>
      <w:r>
        <w:rPr>
          <w:i/>
          <w:color w:val="0070C0"/>
        </w:rPr>
        <w:t xml:space="preserve"> </w:t>
      </w:r>
    </w:p>
    <w:p w14:paraId="017AEE83" w14:textId="77777777" w:rsidR="005F3070" w:rsidRPr="00E8785B" w:rsidRDefault="005F3070" w:rsidP="00907257">
      <w:pPr>
        <w:jc w:val="both"/>
        <w:rPr>
          <w:color w:val="000000"/>
        </w:rPr>
      </w:pPr>
    </w:p>
    <w:p w14:paraId="2A40456D" w14:textId="77777777" w:rsidR="00BB1A0B" w:rsidRDefault="00BB1A0B" w:rsidP="00907257">
      <w:pPr>
        <w:jc w:val="both"/>
        <w:rPr>
          <w:color w:val="000000"/>
        </w:rPr>
      </w:pPr>
      <w:r w:rsidRPr="00BB1A0B">
        <w:rPr>
          <w:color w:val="000000"/>
        </w:rPr>
        <w:t>I suggest adding a magnitude-size legend for Figure 3.</w:t>
      </w:r>
    </w:p>
    <w:p w14:paraId="01F96646" w14:textId="00C4AD18" w:rsidR="005F3070" w:rsidRDefault="00735B6E" w:rsidP="00907257">
      <w:pPr>
        <w:jc w:val="both"/>
        <w:rPr>
          <w:i/>
          <w:iCs/>
          <w:color w:val="0070C0"/>
        </w:rPr>
      </w:pPr>
      <w:r>
        <w:rPr>
          <w:i/>
          <w:iCs/>
          <w:color w:val="0070C0"/>
        </w:rPr>
        <w:t>D</w:t>
      </w:r>
      <w:r w:rsidR="008E688A">
        <w:rPr>
          <w:i/>
          <w:iCs/>
          <w:color w:val="0070C0"/>
        </w:rPr>
        <w:t>one</w:t>
      </w:r>
      <w:r>
        <w:rPr>
          <w:i/>
          <w:iCs/>
          <w:color w:val="0070C0"/>
        </w:rPr>
        <w:t>, also for Figure 4</w:t>
      </w:r>
      <w:r w:rsidR="00F001E5">
        <w:rPr>
          <w:i/>
          <w:iCs/>
          <w:color w:val="0070C0"/>
        </w:rPr>
        <w:t>.</w:t>
      </w:r>
    </w:p>
    <w:p w14:paraId="05E71636" w14:textId="77777777" w:rsidR="005F3070" w:rsidRPr="00BB1A0B" w:rsidRDefault="005F3070" w:rsidP="00907257">
      <w:pPr>
        <w:jc w:val="both"/>
        <w:rPr>
          <w:i/>
          <w:iCs/>
          <w:color w:val="0070C0"/>
        </w:rPr>
      </w:pPr>
    </w:p>
    <w:p w14:paraId="7EB4310E" w14:textId="77777777" w:rsidR="00BB1A0B" w:rsidRDefault="00BB1A0B" w:rsidP="00907257">
      <w:pPr>
        <w:jc w:val="both"/>
        <w:rPr>
          <w:color w:val="000000"/>
        </w:rPr>
      </w:pPr>
      <w:r w:rsidRPr="00BB1A0B">
        <w:rPr>
          <w:color w:val="000000"/>
        </w:rPr>
        <w:t>Please double-check the fault plane inconsistency in Figures 3b and 3c.</w:t>
      </w:r>
    </w:p>
    <w:p w14:paraId="5DDA7B09" w14:textId="77777777" w:rsidR="00296F3C" w:rsidRPr="008A53CD" w:rsidRDefault="00296F3C" w:rsidP="00296F3C">
      <w:pPr>
        <w:jc w:val="both"/>
        <w:rPr>
          <w:i/>
          <w:color w:val="0070C0"/>
        </w:rPr>
      </w:pPr>
      <w:r>
        <w:rPr>
          <w:i/>
          <w:color w:val="0070C0"/>
        </w:rPr>
        <w:t>We do not understand what the reviewer refer to inconsistency in the 3D and map view plot of the fitted plane in Fig. 3b) and c) respectively.</w:t>
      </w:r>
    </w:p>
    <w:p w14:paraId="48EDBFB4" w14:textId="77777777" w:rsidR="005F3070" w:rsidRPr="00296F3C" w:rsidRDefault="005F3070" w:rsidP="00907257">
      <w:pPr>
        <w:jc w:val="both"/>
        <w:rPr>
          <w:color w:val="000000"/>
        </w:rPr>
      </w:pPr>
    </w:p>
    <w:p w14:paraId="61CADCEC" w14:textId="77777777" w:rsidR="00BB1A0B" w:rsidRDefault="00BB1A0B" w:rsidP="00907257">
      <w:pPr>
        <w:jc w:val="both"/>
        <w:rPr>
          <w:color w:val="000000"/>
        </w:rPr>
      </w:pPr>
      <w:r w:rsidRPr="00BB1A0B">
        <w:rPr>
          <w:color w:val="000000"/>
        </w:rPr>
        <w:t>As the timing and location of the largest event are important, I recommend labeling it in the figures.</w:t>
      </w:r>
    </w:p>
    <w:p w14:paraId="28BD97B7" w14:textId="40005410" w:rsidR="005F3070" w:rsidRPr="004D0727" w:rsidRDefault="0013775C" w:rsidP="00907257">
      <w:pPr>
        <w:jc w:val="both"/>
        <w:rPr>
          <w:i/>
          <w:color w:val="0070C0"/>
        </w:rPr>
      </w:pPr>
      <w:r>
        <w:rPr>
          <w:i/>
          <w:iCs/>
          <w:color w:val="0070C0"/>
        </w:rPr>
        <w:t xml:space="preserve">We </w:t>
      </w:r>
      <w:r>
        <w:rPr>
          <w:i/>
          <w:color w:val="0070C0"/>
        </w:rPr>
        <w:t>added a star</w:t>
      </w:r>
      <w:r w:rsidR="00F0275A">
        <w:rPr>
          <w:i/>
          <w:color w:val="0070C0"/>
        </w:rPr>
        <w:t xml:space="preserve"> </w:t>
      </w:r>
      <w:r w:rsidR="005358A1">
        <w:rPr>
          <w:i/>
          <w:color w:val="0070C0"/>
        </w:rPr>
        <w:t>to show the largest event in Fig</w:t>
      </w:r>
      <w:r w:rsidR="00E35B4D">
        <w:rPr>
          <w:i/>
          <w:color w:val="0070C0"/>
        </w:rPr>
        <w:t>ure</w:t>
      </w:r>
      <w:r w:rsidR="005358A1">
        <w:rPr>
          <w:i/>
          <w:color w:val="0070C0"/>
        </w:rPr>
        <w:t xml:space="preserve"> </w:t>
      </w:r>
      <w:r w:rsidR="00D8159E">
        <w:rPr>
          <w:i/>
          <w:color w:val="0070C0"/>
        </w:rPr>
        <w:t>3a</w:t>
      </w:r>
      <w:r w:rsidR="005358A1">
        <w:rPr>
          <w:i/>
          <w:color w:val="0070C0"/>
        </w:rPr>
        <w:t>.</w:t>
      </w:r>
    </w:p>
    <w:p w14:paraId="1544CD93" w14:textId="77777777" w:rsidR="005F3070" w:rsidRPr="00BB1A0B" w:rsidRDefault="005F3070" w:rsidP="00907257">
      <w:pPr>
        <w:jc w:val="both"/>
        <w:rPr>
          <w:color w:val="000000"/>
        </w:rPr>
      </w:pPr>
    </w:p>
    <w:p w14:paraId="3E8A26B9" w14:textId="77777777" w:rsidR="00BB1A0B" w:rsidRPr="00BB1A0B" w:rsidRDefault="00BB1A0B" w:rsidP="00907257">
      <w:pPr>
        <w:jc w:val="both"/>
        <w:rPr>
          <w:color w:val="000000"/>
        </w:rPr>
      </w:pPr>
      <w:r w:rsidRPr="00BB1A0B">
        <w:rPr>
          <w:color w:val="000000"/>
        </w:rPr>
        <w:t>I suggest using relative time instead of absolute time in Figures 3 and 5</w:t>
      </w:r>
    </w:p>
    <w:p w14:paraId="57C93040" w14:textId="77777777" w:rsidR="00C9435E" w:rsidRPr="008A53CD" w:rsidRDefault="00C9435E" w:rsidP="5BB6DCE0">
      <w:pPr>
        <w:jc w:val="both"/>
        <w:rPr>
          <w:i/>
          <w:iCs/>
          <w:color w:val="0070C0"/>
          <w:lang w:val="en-GB"/>
        </w:rPr>
      </w:pPr>
      <w:r w:rsidRPr="5BB6DCE0">
        <w:rPr>
          <w:i/>
          <w:iCs/>
          <w:color w:val="0070C0"/>
          <w:lang w:val="en-GB"/>
        </w:rPr>
        <w:t>While we used relative time in Figure 4, we prefer to maintain absolute time in Figures 3 and 5 to provide the reader with a clearer context regarding the timing of the injection operations.</w:t>
      </w:r>
    </w:p>
    <w:p w14:paraId="24C8D12B" w14:textId="77777777" w:rsidR="00660A7D" w:rsidRDefault="00660A7D" w:rsidP="00907257">
      <w:pPr>
        <w:jc w:val="both"/>
      </w:pPr>
    </w:p>
    <w:p w14:paraId="3312AF9F" w14:textId="77777777" w:rsidR="00AE3ED6" w:rsidRDefault="00AE3ED6" w:rsidP="00907257">
      <w:pPr>
        <w:jc w:val="both"/>
      </w:pPr>
    </w:p>
    <w:p w14:paraId="5BC74ADD" w14:textId="078FD748" w:rsidR="00AE3ED6" w:rsidRDefault="00AE3ED6">
      <w:r>
        <w:br w:type="page"/>
      </w:r>
    </w:p>
    <w:p w14:paraId="34429436" w14:textId="1A784B0C" w:rsidR="00AE3ED6" w:rsidRPr="00801B23" w:rsidRDefault="00AE3ED6" w:rsidP="00907257">
      <w:pPr>
        <w:jc w:val="both"/>
        <w:rPr>
          <w:color w:val="0070C0"/>
        </w:rPr>
      </w:pPr>
      <w:r w:rsidRPr="00801B23">
        <w:rPr>
          <w:color w:val="0070C0"/>
        </w:rPr>
        <w:lastRenderedPageBreak/>
        <w:t>References:</w:t>
      </w:r>
    </w:p>
    <w:p w14:paraId="4D5B267E" w14:textId="3AE6D2D8" w:rsidR="00AE3ED6" w:rsidRPr="00801B23" w:rsidRDefault="0C2AE64A" w:rsidP="00897411">
      <w:pPr>
        <w:pStyle w:val="NormalWeb"/>
        <w:numPr>
          <w:ilvl w:val="0"/>
          <w:numId w:val="3"/>
        </w:numPr>
        <w:ind w:left="284" w:hanging="284"/>
        <w:rPr>
          <w:color w:val="0070C0"/>
        </w:rPr>
      </w:pPr>
      <w:proofErr w:type="spellStart"/>
      <w:r w:rsidRPr="00801B23">
        <w:rPr>
          <w:color w:val="0070C0"/>
        </w:rPr>
        <w:t>Clauset</w:t>
      </w:r>
      <w:proofErr w:type="spellEnd"/>
      <w:r w:rsidRPr="00801B23">
        <w:rPr>
          <w:color w:val="0070C0"/>
        </w:rPr>
        <w:t xml:space="preserve">, A., Shalizi, C.R. </w:t>
      </w:r>
      <w:r w:rsidR="009C0226" w:rsidRPr="00801B23">
        <w:rPr>
          <w:color w:val="0070C0"/>
        </w:rPr>
        <w:t>&amp;</w:t>
      </w:r>
      <w:r w:rsidRPr="00801B23">
        <w:rPr>
          <w:color w:val="0070C0"/>
        </w:rPr>
        <w:t xml:space="preserve"> Newman, M.E., 2009. Power-law distributions in empirical data. SIAM review, 51(4), pp.661-703.</w:t>
      </w:r>
    </w:p>
    <w:p w14:paraId="3CE080C5" w14:textId="36C9DA43" w:rsidR="00AE3ED6" w:rsidRPr="00801B23" w:rsidRDefault="0C2AE64A" w:rsidP="00897411">
      <w:pPr>
        <w:pStyle w:val="NormalWeb"/>
        <w:numPr>
          <w:ilvl w:val="0"/>
          <w:numId w:val="3"/>
        </w:numPr>
        <w:ind w:left="284" w:hanging="284"/>
        <w:rPr>
          <w:color w:val="0070C0"/>
        </w:rPr>
      </w:pPr>
      <w:r w:rsidRPr="00801B23">
        <w:rPr>
          <w:color w:val="0070C0"/>
          <w:lang w:val="de-CH"/>
        </w:rPr>
        <w:t xml:space="preserve">Mizrahi, L., </w:t>
      </w:r>
      <w:proofErr w:type="spellStart"/>
      <w:r w:rsidRPr="00801B23">
        <w:rPr>
          <w:color w:val="0070C0"/>
          <w:lang w:val="de-CH"/>
        </w:rPr>
        <w:t>Nandan</w:t>
      </w:r>
      <w:proofErr w:type="spellEnd"/>
      <w:r w:rsidRPr="00801B23">
        <w:rPr>
          <w:color w:val="0070C0"/>
          <w:lang w:val="de-CH"/>
        </w:rPr>
        <w:t xml:space="preserve">, S. </w:t>
      </w:r>
      <w:r w:rsidR="009C0226" w:rsidRPr="00801B23">
        <w:rPr>
          <w:color w:val="0070C0"/>
          <w:lang w:val="de-CH"/>
        </w:rPr>
        <w:t>&amp;</w:t>
      </w:r>
      <w:r w:rsidRPr="00801B23">
        <w:rPr>
          <w:color w:val="0070C0"/>
          <w:lang w:val="de-CH"/>
        </w:rPr>
        <w:t xml:space="preserve"> </w:t>
      </w:r>
      <w:proofErr w:type="spellStart"/>
      <w:r w:rsidRPr="00801B23">
        <w:rPr>
          <w:color w:val="0070C0"/>
          <w:lang w:val="de-CH"/>
        </w:rPr>
        <w:t>Wiemer</w:t>
      </w:r>
      <w:proofErr w:type="spellEnd"/>
      <w:r w:rsidRPr="00801B23">
        <w:rPr>
          <w:color w:val="0070C0"/>
          <w:lang w:val="de-CH"/>
        </w:rPr>
        <w:t xml:space="preserve">, S., 2021. </w:t>
      </w:r>
      <w:r w:rsidRPr="00801B23">
        <w:rPr>
          <w:color w:val="0070C0"/>
        </w:rPr>
        <w:t xml:space="preserve">The effect of </w:t>
      </w:r>
      <w:proofErr w:type="spellStart"/>
      <w:r w:rsidRPr="00801B23">
        <w:rPr>
          <w:color w:val="0070C0"/>
        </w:rPr>
        <w:t>declustering</w:t>
      </w:r>
      <w:proofErr w:type="spellEnd"/>
      <w:r w:rsidRPr="00801B23">
        <w:rPr>
          <w:color w:val="0070C0"/>
        </w:rPr>
        <w:t xml:space="preserve"> on the size distribution of mainshocks. Seismological </w:t>
      </w:r>
      <w:r w:rsidR="00A5669A" w:rsidRPr="00801B23">
        <w:rPr>
          <w:color w:val="0070C0"/>
        </w:rPr>
        <w:t>Research Letters</w:t>
      </w:r>
      <w:r w:rsidRPr="00801B23">
        <w:rPr>
          <w:color w:val="0070C0"/>
        </w:rPr>
        <w:t>, 92(4), pp.2333-2342.</w:t>
      </w:r>
    </w:p>
    <w:p w14:paraId="73ED9306" w14:textId="27B8922D" w:rsidR="005A6075" w:rsidRPr="00801B23" w:rsidRDefault="110C1E7B" w:rsidP="00897411">
      <w:pPr>
        <w:pStyle w:val="ListParagraph"/>
        <w:numPr>
          <w:ilvl w:val="0"/>
          <w:numId w:val="3"/>
        </w:numPr>
        <w:ind w:left="284" w:hanging="284"/>
        <w:rPr>
          <w:color w:val="0070C0"/>
        </w:rPr>
      </w:pPr>
      <w:r w:rsidRPr="00801B23">
        <w:rPr>
          <w:color w:val="0070C0"/>
        </w:rPr>
        <w:t>Ritz, V. A., Rinaldi, A. P., &amp; Wiemer, S.</w:t>
      </w:r>
      <w:r w:rsidR="009C0226" w:rsidRPr="00801B23">
        <w:rPr>
          <w:color w:val="0070C0"/>
        </w:rPr>
        <w:t xml:space="preserve">, </w:t>
      </w:r>
      <w:r w:rsidRPr="00801B23">
        <w:rPr>
          <w:color w:val="0070C0"/>
        </w:rPr>
        <w:t xml:space="preserve">2022. Transient evolution of the relative size distribution of earthquakes as a risk indicator for induced seismicity. Communications Earth &amp; Environment, 3. </w:t>
      </w:r>
      <w:hyperlink r:id="rId11">
        <w:r w:rsidR="04161CDF" w:rsidRPr="00801B23">
          <w:rPr>
            <w:rStyle w:val="Hyperlink"/>
            <w:color w:val="0070C0"/>
          </w:rPr>
          <w:t>https://doi.org/10.1038/s43247-022-00581-9</w:t>
        </w:r>
      </w:hyperlink>
    </w:p>
    <w:p w14:paraId="1C2D5BB8" w14:textId="0B6346ED" w:rsidR="001A1049" w:rsidRPr="00801B23" w:rsidRDefault="001A1049" w:rsidP="00897411">
      <w:pPr>
        <w:pStyle w:val="ListParagraph"/>
        <w:numPr>
          <w:ilvl w:val="0"/>
          <w:numId w:val="3"/>
        </w:numPr>
        <w:ind w:left="284" w:hanging="284"/>
        <w:rPr>
          <w:color w:val="0070C0"/>
        </w:rPr>
      </w:pPr>
      <w:r w:rsidRPr="00801B23">
        <w:rPr>
          <w:color w:val="0070C0"/>
          <w:lang w:val="de-CH"/>
        </w:rPr>
        <w:t>van der Elst, N. J.</w:t>
      </w:r>
      <w:r w:rsidR="00D70217" w:rsidRPr="00801B23">
        <w:rPr>
          <w:color w:val="0070C0"/>
          <w:lang w:val="de-CH"/>
        </w:rPr>
        <w:t xml:space="preserve">, </w:t>
      </w:r>
      <w:r w:rsidRPr="00801B23">
        <w:rPr>
          <w:color w:val="0070C0"/>
          <w:lang w:val="de-CH"/>
        </w:rPr>
        <w:t xml:space="preserve">2021. </w:t>
      </w:r>
      <w:r w:rsidRPr="00801B23">
        <w:rPr>
          <w:color w:val="0070C0"/>
        </w:rPr>
        <w:t>B-Positive: A Robust Estimator of Aftershock Magnitude Distribution in Transiently Incomplete Catalogs. Journal of Geophysical Research:</w:t>
      </w:r>
      <w:r w:rsidRPr="00801B23">
        <w:rPr>
          <w:i/>
          <w:iCs/>
          <w:color w:val="0070C0"/>
        </w:rPr>
        <w:t xml:space="preserve"> Solid Earth</w:t>
      </w:r>
      <w:r w:rsidRPr="00801B23">
        <w:rPr>
          <w:color w:val="0070C0"/>
        </w:rPr>
        <w:t xml:space="preserve">, </w:t>
      </w:r>
      <w:r w:rsidRPr="00801B23">
        <w:rPr>
          <w:i/>
          <w:iCs/>
          <w:color w:val="0070C0"/>
        </w:rPr>
        <w:t>126</w:t>
      </w:r>
      <w:r w:rsidRPr="00801B23">
        <w:rPr>
          <w:color w:val="0070C0"/>
        </w:rPr>
        <w:t>(2), 1–19. https://doi.org/10.1029/2020JB021027</w:t>
      </w:r>
    </w:p>
    <w:p w14:paraId="0BB8ECF9" w14:textId="199EC802" w:rsidR="00AE3ED6" w:rsidRPr="00801B23" w:rsidRDefault="0C2AE64A" w:rsidP="00897411">
      <w:pPr>
        <w:pStyle w:val="NormalWeb"/>
        <w:numPr>
          <w:ilvl w:val="0"/>
          <w:numId w:val="3"/>
        </w:numPr>
        <w:ind w:left="284" w:hanging="284"/>
        <w:rPr>
          <w:color w:val="0070C0"/>
        </w:rPr>
      </w:pPr>
      <w:r w:rsidRPr="00801B23">
        <w:rPr>
          <w:color w:val="0070C0"/>
        </w:rPr>
        <w:t xml:space="preserve">Wiemer, S. </w:t>
      </w:r>
      <w:r w:rsidR="00D70217" w:rsidRPr="00801B23">
        <w:rPr>
          <w:color w:val="0070C0"/>
        </w:rPr>
        <w:t>&amp;</w:t>
      </w:r>
      <w:r w:rsidRPr="00801B23">
        <w:rPr>
          <w:color w:val="0070C0"/>
        </w:rPr>
        <w:t xml:space="preserve"> Wyss, M., 2000. Minimum magnitude of completeness in earthquake catalogs: Examples from Alaska, the western United States, and Japan. Bulletin of the Seismological Society of America, 90(4), pp.859-869.</w:t>
      </w:r>
    </w:p>
    <w:p w14:paraId="5067B30B" w14:textId="28638151" w:rsidR="00AE3ED6" w:rsidRPr="00801B23" w:rsidRDefault="0C2AE64A" w:rsidP="00897411">
      <w:pPr>
        <w:pStyle w:val="NormalWeb"/>
        <w:numPr>
          <w:ilvl w:val="0"/>
          <w:numId w:val="3"/>
        </w:numPr>
        <w:ind w:left="284" w:hanging="284"/>
        <w:rPr>
          <w:color w:val="0070C0"/>
        </w:rPr>
      </w:pPr>
      <w:r w:rsidRPr="00801B23">
        <w:rPr>
          <w:color w:val="0070C0"/>
        </w:rPr>
        <w:t xml:space="preserve">Woessner, J. </w:t>
      </w:r>
      <w:r w:rsidR="000E2E2D" w:rsidRPr="00801B23">
        <w:rPr>
          <w:color w:val="0070C0"/>
        </w:rPr>
        <w:t>&amp;</w:t>
      </w:r>
      <w:r w:rsidRPr="00801B23">
        <w:rPr>
          <w:color w:val="0070C0"/>
        </w:rPr>
        <w:t xml:space="preserve"> Wiemer, S., 2005. Assessing the quality of earthquake catalogues: Estimating the magnitude of completeness and its uncertainty. Bulletin of the Seismological Society of America, 95(2), pp.684-698.</w:t>
      </w:r>
    </w:p>
    <w:p w14:paraId="276F97A0" w14:textId="77777777" w:rsidR="00AE3ED6" w:rsidRPr="00C9435E" w:rsidRDefault="00AE3ED6" w:rsidP="00907257">
      <w:pPr>
        <w:jc w:val="both"/>
      </w:pPr>
    </w:p>
    <w:sectPr w:rsidR="00AE3ED6" w:rsidRPr="00C9435E" w:rsidSect="00BB1A0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2B0E"/>
    <w:multiLevelType w:val="multilevel"/>
    <w:tmpl w:val="FCE8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03B9E"/>
    <w:multiLevelType w:val="multilevel"/>
    <w:tmpl w:val="C640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F366B"/>
    <w:multiLevelType w:val="multilevel"/>
    <w:tmpl w:val="BB66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70FED"/>
    <w:multiLevelType w:val="hybridMultilevel"/>
    <w:tmpl w:val="E9C029D8"/>
    <w:lvl w:ilvl="0" w:tplc="0DDCEB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A48A8"/>
    <w:multiLevelType w:val="multilevel"/>
    <w:tmpl w:val="12A6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154752">
    <w:abstractNumId w:val="1"/>
  </w:num>
  <w:num w:numId="2" w16cid:durableId="563374088">
    <w:abstractNumId w:val="2"/>
  </w:num>
  <w:num w:numId="3" w16cid:durableId="871722697">
    <w:abstractNumId w:val="4"/>
  </w:num>
  <w:num w:numId="4" w16cid:durableId="987318444">
    <w:abstractNumId w:val="0"/>
  </w:num>
  <w:num w:numId="5" w16cid:durableId="2058124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0B"/>
    <w:rsid w:val="0000168B"/>
    <w:rsid w:val="00016F59"/>
    <w:rsid w:val="00023E41"/>
    <w:rsid w:val="000347E9"/>
    <w:rsid w:val="000409B0"/>
    <w:rsid w:val="00047D54"/>
    <w:rsid w:val="00055632"/>
    <w:rsid w:val="000556B7"/>
    <w:rsid w:val="00060DE2"/>
    <w:rsid w:val="00076EA9"/>
    <w:rsid w:val="000900F8"/>
    <w:rsid w:val="00096B84"/>
    <w:rsid w:val="00097E03"/>
    <w:rsid w:val="000A44BD"/>
    <w:rsid w:val="000A522D"/>
    <w:rsid w:val="000A630B"/>
    <w:rsid w:val="000C5EA4"/>
    <w:rsid w:val="000C70B4"/>
    <w:rsid w:val="000D3BFC"/>
    <w:rsid w:val="000D76C1"/>
    <w:rsid w:val="000E2E2D"/>
    <w:rsid w:val="000E771D"/>
    <w:rsid w:val="000F2D33"/>
    <w:rsid w:val="000F308C"/>
    <w:rsid w:val="000F4F7B"/>
    <w:rsid w:val="0011376E"/>
    <w:rsid w:val="00117A27"/>
    <w:rsid w:val="00122509"/>
    <w:rsid w:val="00127292"/>
    <w:rsid w:val="0013775C"/>
    <w:rsid w:val="001408DB"/>
    <w:rsid w:val="00141D1C"/>
    <w:rsid w:val="001444C3"/>
    <w:rsid w:val="001448BB"/>
    <w:rsid w:val="00152123"/>
    <w:rsid w:val="00157A26"/>
    <w:rsid w:val="00157E35"/>
    <w:rsid w:val="0016000E"/>
    <w:rsid w:val="00160174"/>
    <w:rsid w:val="00161F46"/>
    <w:rsid w:val="001675AA"/>
    <w:rsid w:val="00174A6D"/>
    <w:rsid w:val="001754C3"/>
    <w:rsid w:val="00182BC2"/>
    <w:rsid w:val="0019036B"/>
    <w:rsid w:val="001A1049"/>
    <w:rsid w:val="001A4F83"/>
    <w:rsid w:val="001A74D7"/>
    <w:rsid w:val="001B7974"/>
    <w:rsid w:val="001C1F4D"/>
    <w:rsid w:val="001D4272"/>
    <w:rsid w:val="001D52EA"/>
    <w:rsid w:val="001D6E6C"/>
    <w:rsid w:val="001D76F3"/>
    <w:rsid w:val="001E355A"/>
    <w:rsid w:val="001F13D3"/>
    <w:rsid w:val="001F4103"/>
    <w:rsid w:val="001F78F0"/>
    <w:rsid w:val="00213976"/>
    <w:rsid w:val="002152D5"/>
    <w:rsid w:val="00224E8C"/>
    <w:rsid w:val="00232799"/>
    <w:rsid w:val="00237B57"/>
    <w:rsid w:val="00251131"/>
    <w:rsid w:val="00254E9E"/>
    <w:rsid w:val="002671FE"/>
    <w:rsid w:val="00267228"/>
    <w:rsid w:val="002741BB"/>
    <w:rsid w:val="00283202"/>
    <w:rsid w:val="002900B8"/>
    <w:rsid w:val="0029650C"/>
    <w:rsid w:val="00296F3C"/>
    <w:rsid w:val="002A1AFB"/>
    <w:rsid w:val="002A3A51"/>
    <w:rsid w:val="002A7B8C"/>
    <w:rsid w:val="002A7F19"/>
    <w:rsid w:val="002D171F"/>
    <w:rsid w:val="002E4D28"/>
    <w:rsid w:val="002F18D6"/>
    <w:rsid w:val="003020A7"/>
    <w:rsid w:val="00303292"/>
    <w:rsid w:val="0030434B"/>
    <w:rsid w:val="00305467"/>
    <w:rsid w:val="00316086"/>
    <w:rsid w:val="00324559"/>
    <w:rsid w:val="00340EEC"/>
    <w:rsid w:val="0034184D"/>
    <w:rsid w:val="00343139"/>
    <w:rsid w:val="00353901"/>
    <w:rsid w:val="00353FDB"/>
    <w:rsid w:val="003558EB"/>
    <w:rsid w:val="0035744B"/>
    <w:rsid w:val="00365A5A"/>
    <w:rsid w:val="003709C0"/>
    <w:rsid w:val="00385D87"/>
    <w:rsid w:val="0039027D"/>
    <w:rsid w:val="00397DBA"/>
    <w:rsid w:val="003B1FE0"/>
    <w:rsid w:val="003B3A3A"/>
    <w:rsid w:val="003C7392"/>
    <w:rsid w:val="003D1E67"/>
    <w:rsid w:val="003D2CC7"/>
    <w:rsid w:val="003D7A24"/>
    <w:rsid w:val="003E0AA5"/>
    <w:rsid w:val="003E62AA"/>
    <w:rsid w:val="003E6465"/>
    <w:rsid w:val="003F3F37"/>
    <w:rsid w:val="003F5E07"/>
    <w:rsid w:val="003F6FA2"/>
    <w:rsid w:val="00401C3D"/>
    <w:rsid w:val="0040228F"/>
    <w:rsid w:val="0041038D"/>
    <w:rsid w:val="00412F25"/>
    <w:rsid w:val="00413737"/>
    <w:rsid w:val="00427787"/>
    <w:rsid w:val="0043431B"/>
    <w:rsid w:val="00436277"/>
    <w:rsid w:val="00436858"/>
    <w:rsid w:val="00441AC2"/>
    <w:rsid w:val="0044395D"/>
    <w:rsid w:val="004532EE"/>
    <w:rsid w:val="00461107"/>
    <w:rsid w:val="00471C47"/>
    <w:rsid w:val="004777A5"/>
    <w:rsid w:val="00477DD0"/>
    <w:rsid w:val="00481C31"/>
    <w:rsid w:val="00484C57"/>
    <w:rsid w:val="004A3E5F"/>
    <w:rsid w:val="004B084A"/>
    <w:rsid w:val="004B22A7"/>
    <w:rsid w:val="004B2422"/>
    <w:rsid w:val="004B2BAB"/>
    <w:rsid w:val="004B58D1"/>
    <w:rsid w:val="004B6355"/>
    <w:rsid w:val="004C59E6"/>
    <w:rsid w:val="004C7181"/>
    <w:rsid w:val="004D0727"/>
    <w:rsid w:val="004D3DF9"/>
    <w:rsid w:val="004E1F14"/>
    <w:rsid w:val="004E7B52"/>
    <w:rsid w:val="004F45BD"/>
    <w:rsid w:val="00503921"/>
    <w:rsid w:val="00503CAA"/>
    <w:rsid w:val="00503E6F"/>
    <w:rsid w:val="00506064"/>
    <w:rsid w:val="005174B4"/>
    <w:rsid w:val="00517C3B"/>
    <w:rsid w:val="0052146C"/>
    <w:rsid w:val="00522127"/>
    <w:rsid w:val="0052295E"/>
    <w:rsid w:val="00523510"/>
    <w:rsid w:val="00526887"/>
    <w:rsid w:val="00526C61"/>
    <w:rsid w:val="00531FE9"/>
    <w:rsid w:val="005358A1"/>
    <w:rsid w:val="005437AF"/>
    <w:rsid w:val="005447F9"/>
    <w:rsid w:val="005515D5"/>
    <w:rsid w:val="00552B44"/>
    <w:rsid w:val="0056032E"/>
    <w:rsid w:val="00562EE1"/>
    <w:rsid w:val="0056376C"/>
    <w:rsid w:val="005652C2"/>
    <w:rsid w:val="00570A44"/>
    <w:rsid w:val="00573A37"/>
    <w:rsid w:val="005744FC"/>
    <w:rsid w:val="00581AB4"/>
    <w:rsid w:val="00583E5C"/>
    <w:rsid w:val="005974A1"/>
    <w:rsid w:val="005A50DF"/>
    <w:rsid w:val="005A6075"/>
    <w:rsid w:val="005B1BCC"/>
    <w:rsid w:val="005C4ED8"/>
    <w:rsid w:val="005D0C39"/>
    <w:rsid w:val="005D5ACC"/>
    <w:rsid w:val="005D6AC0"/>
    <w:rsid w:val="005E50FF"/>
    <w:rsid w:val="005F3070"/>
    <w:rsid w:val="005F3B99"/>
    <w:rsid w:val="005F4688"/>
    <w:rsid w:val="005F57CB"/>
    <w:rsid w:val="006014A4"/>
    <w:rsid w:val="00605FC7"/>
    <w:rsid w:val="006060A1"/>
    <w:rsid w:val="00606593"/>
    <w:rsid w:val="00606BFA"/>
    <w:rsid w:val="00607B3A"/>
    <w:rsid w:val="006108F2"/>
    <w:rsid w:val="006128B1"/>
    <w:rsid w:val="0061539F"/>
    <w:rsid w:val="00617902"/>
    <w:rsid w:val="00621809"/>
    <w:rsid w:val="00625891"/>
    <w:rsid w:val="006277A4"/>
    <w:rsid w:val="00633B06"/>
    <w:rsid w:val="00633F34"/>
    <w:rsid w:val="006403D0"/>
    <w:rsid w:val="00644F6D"/>
    <w:rsid w:val="006476EE"/>
    <w:rsid w:val="00651AE1"/>
    <w:rsid w:val="00651C87"/>
    <w:rsid w:val="0065295A"/>
    <w:rsid w:val="00652D11"/>
    <w:rsid w:val="00660A7D"/>
    <w:rsid w:val="00664141"/>
    <w:rsid w:val="00664DDB"/>
    <w:rsid w:val="0067012B"/>
    <w:rsid w:val="00670B81"/>
    <w:rsid w:val="00675BD3"/>
    <w:rsid w:val="00680C24"/>
    <w:rsid w:val="006916E1"/>
    <w:rsid w:val="00692104"/>
    <w:rsid w:val="00692EB6"/>
    <w:rsid w:val="00696027"/>
    <w:rsid w:val="006A251B"/>
    <w:rsid w:val="006A3915"/>
    <w:rsid w:val="006A5DC9"/>
    <w:rsid w:val="006B0994"/>
    <w:rsid w:val="006B09ED"/>
    <w:rsid w:val="006B4383"/>
    <w:rsid w:val="006B454D"/>
    <w:rsid w:val="006B6E2D"/>
    <w:rsid w:val="006C6B9F"/>
    <w:rsid w:val="006D05C4"/>
    <w:rsid w:val="006D4697"/>
    <w:rsid w:val="006D78DE"/>
    <w:rsid w:val="006E3060"/>
    <w:rsid w:val="006E31D5"/>
    <w:rsid w:val="006E755F"/>
    <w:rsid w:val="006F06C4"/>
    <w:rsid w:val="006F5E19"/>
    <w:rsid w:val="006F6AD0"/>
    <w:rsid w:val="00701E10"/>
    <w:rsid w:val="00702FA4"/>
    <w:rsid w:val="00705804"/>
    <w:rsid w:val="00705A89"/>
    <w:rsid w:val="00707B74"/>
    <w:rsid w:val="00726EB8"/>
    <w:rsid w:val="00731393"/>
    <w:rsid w:val="00734DF8"/>
    <w:rsid w:val="00735B6E"/>
    <w:rsid w:val="00737E6F"/>
    <w:rsid w:val="00741DC1"/>
    <w:rsid w:val="00741EC8"/>
    <w:rsid w:val="00744A40"/>
    <w:rsid w:val="00747520"/>
    <w:rsid w:val="00755826"/>
    <w:rsid w:val="0077309A"/>
    <w:rsid w:val="00774389"/>
    <w:rsid w:val="00775C11"/>
    <w:rsid w:val="007772CD"/>
    <w:rsid w:val="0078384D"/>
    <w:rsid w:val="007906FD"/>
    <w:rsid w:val="007A2365"/>
    <w:rsid w:val="007B0C90"/>
    <w:rsid w:val="007B2AFE"/>
    <w:rsid w:val="007B66C8"/>
    <w:rsid w:val="007C665B"/>
    <w:rsid w:val="007E516D"/>
    <w:rsid w:val="007E71AA"/>
    <w:rsid w:val="007F340E"/>
    <w:rsid w:val="00801B23"/>
    <w:rsid w:val="00804F3C"/>
    <w:rsid w:val="008136AB"/>
    <w:rsid w:val="00822B24"/>
    <w:rsid w:val="00827186"/>
    <w:rsid w:val="008311E0"/>
    <w:rsid w:val="0083371C"/>
    <w:rsid w:val="00846672"/>
    <w:rsid w:val="00853056"/>
    <w:rsid w:val="0085489E"/>
    <w:rsid w:val="00856196"/>
    <w:rsid w:val="00857445"/>
    <w:rsid w:val="0085762A"/>
    <w:rsid w:val="00861B2C"/>
    <w:rsid w:val="0086412E"/>
    <w:rsid w:val="008651A6"/>
    <w:rsid w:val="0089143C"/>
    <w:rsid w:val="0089276C"/>
    <w:rsid w:val="00893B18"/>
    <w:rsid w:val="00897411"/>
    <w:rsid w:val="008A5D8C"/>
    <w:rsid w:val="008A6B7C"/>
    <w:rsid w:val="008B1972"/>
    <w:rsid w:val="008C608A"/>
    <w:rsid w:val="008C71C9"/>
    <w:rsid w:val="008C7F3E"/>
    <w:rsid w:val="008D619C"/>
    <w:rsid w:val="008E19FC"/>
    <w:rsid w:val="008E3EF9"/>
    <w:rsid w:val="008E5AD2"/>
    <w:rsid w:val="008E688A"/>
    <w:rsid w:val="008F2909"/>
    <w:rsid w:val="008F5967"/>
    <w:rsid w:val="008F7C99"/>
    <w:rsid w:val="00903DB3"/>
    <w:rsid w:val="009046D7"/>
    <w:rsid w:val="00906056"/>
    <w:rsid w:val="00907257"/>
    <w:rsid w:val="00920029"/>
    <w:rsid w:val="009211C1"/>
    <w:rsid w:val="0092589F"/>
    <w:rsid w:val="009337A4"/>
    <w:rsid w:val="0094282B"/>
    <w:rsid w:val="009444BE"/>
    <w:rsid w:val="0094460F"/>
    <w:rsid w:val="00945BF7"/>
    <w:rsid w:val="00955D36"/>
    <w:rsid w:val="00956EA3"/>
    <w:rsid w:val="00964241"/>
    <w:rsid w:val="0096669C"/>
    <w:rsid w:val="00986793"/>
    <w:rsid w:val="00992468"/>
    <w:rsid w:val="00996D58"/>
    <w:rsid w:val="009972DE"/>
    <w:rsid w:val="009A1EEB"/>
    <w:rsid w:val="009A2FBF"/>
    <w:rsid w:val="009B421E"/>
    <w:rsid w:val="009B58D1"/>
    <w:rsid w:val="009C0226"/>
    <w:rsid w:val="009C116A"/>
    <w:rsid w:val="009C2990"/>
    <w:rsid w:val="009C532E"/>
    <w:rsid w:val="009C761E"/>
    <w:rsid w:val="009D10C4"/>
    <w:rsid w:val="009D1E06"/>
    <w:rsid w:val="009E7F95"/>
    <w:rsid w:val="009F2450"/>
    <w:rsid w:val="009F40F7"/>
    <w:rsid w:val="009F636D"/>
    <w:rsid w:val="009F7775"/>
    <w:rsid w:val="00A06D8F"/>
    <w:rsid w:val="00A10EBA"/>
    <w:rsid w:val="00A11041"/>
    <w:rsid w:val="00A14AE2"/>
    <w:rsid w:val="00A1623F"/>
    <w:rsid w:val="00A458F8"/>
    <w:rsid w:val="00A5491B"/>
    <w:rsid w:val="00A5669A"/>
    <w:rsid w:val="00A56B93"/>
    <w:rsid w:val="00A57089"/>
    <w:rsid w:val="00A6180C"/>
    <w:rsid w:val="00A67D2A"/>
    <w:rsid w:val="00A70716"/>
    <w:rsid w:val="00A72BE9"/>
    <w:rsid w:val="00A741D3"/>
    <w:rsid w:val="00A74DD8"/>
    <w:rsid w:val="00A90E4D"/>
    <w:rsid w:val="00A965AC"/>
    <w:rsid w:val="00A97617"/>
    <w:rsid w:val="00AB71CF"/>
    <w:rsid w:val="00AC0CA6"/>
    <w:rsid w:val="00AC1090"/>
    <w:rsid w:val="00AD0591"/>
    <w:rsid w:val="00AD3884"/>
    <w:rsid w:val="00AE3ED6"/>
    <w:rsid w:val="00AF07D0"/>
    <w:rsid w:val="00AF298C"/>
    <w:rsid w:val="00AF38D4"/>
    <w:rsid w:val="00AF72EF"/>
    <w:rsid w:val="00B0466B"/>
    <w:rsid w:val="00B05EAF"/>
    <w:rsid w:val="00B1477E"/>
    <w:rsid w:val="00B15B42"/>
    <w:rsid w:val="00B16F41"/>
    <w:rsid w:val="00B170CE"/>
    <w:rsid w:val="00B25E1A"/>
    <w:rsid w:val="00B262AA"/>
    <w:rsid w:val="00B332D3"/>
    <w:rsid w:val="00B33B9E"/>
    <w:rsid w:val="00B33EC0"/>
    <w:rsid w:val="00B36824"/>
    <w:rsid w:val="00B37CB6"/>
    <w:rsid w:val="00B41270"/>
    <w:rsid w:val="00B418FD"/>
    <w:rsid w:val="00B45BB8"/>
    <w:rsid w:val="00B51AD7"/>
    <w:rsid w:val="00B51CED"/>
    <w:rsid w:val="00B5318A"/>
    <w:rsid w:val="00B558B2"/>
    <w:rsid w:val="00B56CF6"/>
    <w:rsid w:val="00B57276"/>
    <w:rsid w:val="00B61E0F"/>
    <w:rsid w:val="00B64B53"/>
    <w:rsid w:val="00B707DA"/>
    <w:rsid w:val="00B74AE0"/>
    <w:rsid w:val="00B82D13"/>
    <w:rsid w:val="00B91B28"/>
    <w:rsid w:val="00BB18DE"/>
    <w:rsid w:val="00BB1A0B"/>
    <w:rsid w:val="00BB1A21"/>
    <w:rsid w:val="00BC0EF7"/>
    <w:rsid w:val="00BC2B83"/>
    <w:rsid w:val="00BC2C18"/>
    <w:rsid w:val="00BD5526"/>
    <w:rsid w:val="00BE20F3"/>
    <w:rsid w:val="00C063CF"/>
    <w:rsid w:val="00C076A7"/>
    <w:rsid w:val="00C10692"/>
    <w:rsid w:val="00C113C7"/>
    <w:rsid w:val="00C1278C"/>
    <w:rsid w:val="00C16934"/>
    <w:rsid w:val="00C2077E"/>
    <w:rsid w:val="00C22A31"/>
    <w:rsid w:val="00C24376"/>
    <w:rsid w:val="00C30ECF"/>
    <w:rsid w:val="00C35D00"/>
    <w:rsid w:val="00C4003F"/>
    <w:rsid w:val="00C41291"/>
    <w:rsid w:val="00C41405"/>
    <w:rsid w:val="00C52668"/>
    <w:rsid w:val="00C53075"/>
    <w:rsid w:val="00C6147F"/>
    <w:rsid w:val="00C61B4C"/>
    <w:rsid w:val="00C622F0"/>
    <w:rsid w:val="00C63729"/>
    <w:rsid w:val="00C806D8"/>
    <w:rsid w:val="00C8461B"/>
    <w:rsid w:val="00C849F2"/>
    <w:rsid w:val="00C9435E"/>
    <w:rsid w:val="00C9440C"/>
    <w:rsid w:val="00CA405A"/>
    <w:rsid w:val="00CA71BB"/>
    <w:rsid w:val="00CB009E"/>
    <w:rsid w:val="00CB2369"/>
    <w:rsid w:val="00CB362C"/>
    <w:rsid w:val="00CB59B3"/>
    <w:rsid w:val="00CB7839"/>
    <w:rsid w:val="00CC0AE4"/>
    <w:rsid w:val="00CC0B17"/>
    <w:rsid w:val="00CC14DB"/>
    <w:rsid w:val="00CC578F"/>
    <w:rsid w:val="00CD1DEF"/>
    <w:rsid w:val="00CD35D1"/>
    <w:rsid w:val="00CE17A0"/>
    <w:rsid w:val="00CE2496"/>
    <w:rsid w:val="00CF114D"/>
    <w:rsid w:val="00CF60FA"/>
    <w:rsid w:val="00D01188"/>
    <w:rsid w:val="00D01BBA"/>
    <w:rsid w:val="00D11257"/>
    <w:rsid w:val="00D14572"/>
    <w:rsid w:val="00D145EF"/>
    <w:rsid w:val="00D174DB"/>
    <w:rsid w:val="00D22F08"/>
    <w:rsid w:val="00D26324"/>
    <w:rsid w:val="00D26B2C"/>
    <w:rsid w:val="00D30E51"/>
    <w:rsid w:val="00D31C7F"/>
    <w:rsid w:val="00D31FF8"/>
    <w:rsid w:val="00D32AEB"/>
    <w:rsid w:val="00D424CE"/>
    <w:rsid w:val="00D504E9"/>
    <w:rsid w:val="00D57328"/>
    <w:rsid w:val="00D61C8C"/>
    <w:rsid w:val="00D62897"/>
    <w:rsid w:val="00D655A6"/>
    <w:rsid w:val="00D70217"/>
    <w:rsid w:val="00D73B86"/>
    <w:rsid w:val="00D80DDF"/>
    <w:rsid w:val="00D8159E"/>
    <w:rsid w:val="00D90B7F"/>
    <w:rsid w:val="00D94596"/>
    <w:rsid w:val="00D97302"/>
    <w:rsid w:val="00DA49BF"/>
    <w:rsid w:val="00DB215C"/>
    <w:rsid w:val="00DB46A0"/>
    <w:rsid w:val="00DC0F86"/>
    <w:rsid w:val="00DC2857"/>
    <w:rsid w:val="00DC31D7"/>
    <w:rsid w:val="00DD1029"/>
    <w:rsid w:val="00DD1785"/>
    <w:rsid w:val="00DD1BAC"/>
    <w:rsid w:val="00DD1DA3"/>
    <w:rsid w:val="00DD4568"/>
    <w:rsid w:val="00DD487C"/>
    <w:rsid w:val="00DD59D7"/>
    <w:rsid w:val="00DD7E57"/>
    <w:rsid w:val="00DE1720"/>
    <w:rsid w:val="00DE182B"/>
    <w:rsid w:val="00DE667F"/>
    <w:rsid w:val="00DF2934"/>
    <w:rsid w:val="00E06D90"/>
    <w:rsid w:val="00E24D31"/>
    <w:rsid w:val="00E24D89"/>
    <w:rsid w:val="00E35B4D"/>
    <w:rsid w:val="00E365D4"/>
    <w:rsid w:val="00E369D2"/>
    <w:rsid w:val="00E37C3C"/>
    <w:rsid w:val="00E412D6"/>
    <w:rsid w:val="00E41999"/>
    <w:rsid w:val="00E5010B"/>
    <w:rsid w:val="00E53456"/>
    <w:rsid w:val="00E558DD"/>
    <w:rsid w:val="00E6462F"/>
    <w:rsid w:val="00E76EA0"/>
    <w:rsid w:val="00E8785B"/>
    <w:rsid w:val="00EA7AFC"/>
    <w:rsid w:val="00EB4E31"/>
    <w:rsid w:val="00EB6F4F"/>
    <w:rsid w:val="00EC0F0A"/>
    <w:rsid w:val="00EC275E"/>
    <w:rsid w:val="00EC6675"/>
    <w:rsid w:val="00EC708F"/>
    <w:rsid w:val="00ED3A6B"/>
    <w:rsid w:val="00ED5C1C"/>
    <w:rsid w:val="00ED5F4E"/>
    <w:rsid w:val="00EE0501"/>
    <w:rsid w:val="00EE26A2"/>
    <w:rsid w:val="00EE742D"/>
    <w:rsid w:val="00EF268A"/>
    <w:rsid w:val="00F001E5"/>
    <w:rsid w:val="00F01166"/>
    <w:rsid w:val="00F0275A"/>
    <w:rsid w:val="00F03CC8"/>
    <w:rsid w:val="00F03FDC"/>
    <w:rsid w:val="00F07DD1"/>
    <w:rsid w:val="00F11E76"/>
    <w:rsid w:val="00F22575"/>
    <w:rsid w:val="00F227C1"/>
    <w:rsid w:val="00F3094A"/>
    <w:rsid w:val="00F326A6"/>
    <w:rsid w:val="00F40B6A"/>
    <w:rsid w:val="00F40C9B"/>
    <w:rsid w:val="00F40D1C"/>
    <w:rsid w:val="00F4121D"/>
    <w:rsid w:val="00F41223"/>
    <w:rsid w:val="00F42027"/>
    <w:rsid w:val="00F425B5"/>
    <w:rsid w:val="00F43118"/>
    <w:rsid w:val="00F519D2"/>
    <w:rsid w:val="00F55500"/>
    <w:rsid w:val="00F570FA"/>
    <w:rsid w:val="00F81D8D"/>
    <w:rsid w:val="00F82BD5"/>
    <w:rsid w:val="00F853F7"/>
    <w:rsid w:val="00F86009"/>
    <w:rsid w:val="00F86C96"/>
    <w:rsid w:val="00F875AC"/>
    <w:rsid w:val="00F90E4F"/>
    <w:rsid w:val="00F94614"/>
    <w:rsid w:val="00FA0D4F"/>
    <w:rsid w:val="00FB0773"/>
    <w:rsid w:val="00FB7092"/>
    <w:rsid w:val="00FC3631"/>
    <w:rsid w:val="00FD5A46"/>
    <w:rsid w:val="00FD64CF"/>
    <w:rsid w:val="00FF5C59"/>
    <w:rsid w:val="021789E2"/>
    <w:rsid w:val="04161CDF"/>
    <w:rsid w:val="04EBB7B4"/>
    <w:rsid w:val="06BAD0E0"/>
    <w:rsid w:val="07317633"/>
    <w:rsid w:val="0C2AE64A"/>
    <w:rsid w:val="0DDF91D2"/>
    <w:rsid w:val="0FBA16D2"/>
    <w:rsid w:val="110C1E7B"/>
    <w:rsid w:val="14F30871"/>
    <w:rsid w:val="15D62AE2"/>
    <w:rsid w:val="183EC964"/>
    <w:rsid w:val="19860A2D"/>
    <w:rsid w:val="1F6C084F"/>
    <w:rsid w:val="2080050D"/>
    <w:rsid w:val="2998A0EF"/>
    <w:rsid w:val="29BDE24D"/>
    <w:rsid w:val="2A343042"/>
    <w:rsid w:val="2BD7FAAB"/>
    <w:rsid w:val="2DBC5521"/>
    <w:rsid w:val="3092A815"/>
    <w:rsid w:val="342BB77D"/>
    <w:rsid w:val="39BFD825"/>
    <w:rsid w:val="3A3EFD1A"/>
    <w:rsid w:val="3A53472F"/>
    <w:rsid w:val="3BD6668C"/>
    <w:rsid w:val="3CC9D878"/>
    <w:rsid w:val="3DDC23A9"/>
    <w:rsid w:val="3E04FABE"/>
    <w:rsid w:val="40F6D812"/>
    <w:rsid w:val="413B5A56"/>
    <w:rsid w:val="421D67E9"/>
    <w:rsid w:val="4375F3A8"/>
    <w:rsid w:val="437E7549"/>
    <w:rsid w:val="45D2E372"/>
    <w:rsid w:val="46485A50"/>
    <w:rsid w:val="46FD24E0"/>
    <w:rsid w:val="48DB42BC"/>
    <w:rsid w:val="4A1379BB"/>
    <w:rsid w:val="4F2D83F7"/>
    <w:rsid w:val="53BB3178"/>
    <w:rsid w:val="55BDCE88"/>
    <w:rsid w:val="5968EDF2"/>
    <w:rsid w:val="59C0B8C4"/>
    <w:rsid w:val="5A9A6F31"/>
    <w:rsid w:val="5BB6DCE0"/>
    <w:rsid w:val="5CD9C836"/>
    <w:rsid w:val="610D8A55"/>
    <w:rsid w:val="61E5748B"/>
    <w:rsid w:val="661EBC84"/>
    <w:rsid w:val="692E43EE"/>
    <w:rsid w:val="697B50FE"/>
    <w:rsid w:val="6EEF7D99"/>
    <w:rsid w:val="7F1BB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4031"/>
  <w15:chartTrackingRefBased/>
  <w15:docId w15:val="{BB80C1A8-81A7-4A48-85F6-6636811D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62F"/>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BB1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1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B1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A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A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A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A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1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B1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A0B"/>
    <w:rPr>
      <w:rFonts w:eastAsiaTheme="majorEastAsia" w:cstheme="majorBidi"/>
      <w:color w:val="272727" w:themeColor="text1" w:themeTint="D8"/>
    </w:rPr>
  </w:style>
  <w:style w:type="paragraph" w:styleId="Title">
    <w:name w:val="Title"/>
    <w:basedOn w:val="Normal"/>
    <w:next w:val="Normal"/>
    <w:link w:val="TitleChar"/>
    <w:uiPriority w:val="10"/>
    <w:qFormat/>
    <w:rsid w:val="00BB1A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A0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A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1A0B"/>
    <w:rPr>
      <w:i/>
      <w:iCs/>
      <w:color w:val="404040" w:themeColor="text1" w:themeTint="BF"/>
    </w:rPr>
  </w:style>
  <w:style w:type="paragraph" w:styleId="ListParagraph">
    <w:name w:val="List Paragraph"/>
    <w:basedOn w:val="Normal"/>
    <w:uiPriority w:val="34"/>
    <w:qFormat/>
    <w:rsid w:val="00BB1A0B"/>
    <w:pPr>
      <w:ind w:left="720"/>
      <w:contextualSpacing/>
    </w:pPr>
  </w:style>
  <w:style w:type="character" w:styleId="IntenseEmphasis">
    <w:name w:val="Intense Emphasis"/>
    <w:basedOn w:val="DefaultParagraphFont"/>
    <w:uiPriority w:val="21"/>
    <w:qFormat/>
    <w:rsid w:val="00BB1A0B"/>
    <w:rPr>
      <w:i/>
      <w:iCs/>
      <w:color w:val="0F4761" w:themeColor="accent1" w:themeShade="BF"/>
    </w:rPr>
  </w:style>
  <w:style w:type="paragraph" w:styleId="IntenseQuote">
    <w:name w:val="Intense Quote"/>
    <w:basedOn w:val="Normal"/>
    <w:next w:val="Normal"/>
    <w:link w:val="IntenseQuoteChar"/>
    <w:uiPriority w:val="30"/>
    <w:qFormat/>
    <w:rsid w:val="00BB1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A0B"/>
    <w:rPr>
      <w:i/>
      <w:iCs/>
      <w:color w:val="0F4761" w:themeColor="accent1" w:themeShade="BF"/>
    </w:rPr>
  </w:style>
  <w:style w:type="character" w:styleId="IntenseReference">
    <w:name w:val="Intense Reference"/>
    <w:basedOn w:val="DefaultParagraphFont"/>
    <w:uiPriority w:val="32"/>
    <w:qFormat/>
    <w:rsid w:val="00BB1A0B"/>
    <w:rPr>
      <w:b/>
      <w:bCs/>
      <w:smallCaps/>
      <w:color w:val="0F4761" w:themeColor="accent1" w:themeShade="BF"/>
      <w:spacing w:val="5"/>
    </w:rPr>
  </w:style>
  <w:style w:type="character" w:styleId="LineNumber">
    <w:name w:val="line number"/>
    <w:basedOn w:val="DefaultParagraphFont"/>
    <w:uiPriority w:val="99"/>
    <w:semiHidden/>
    <w:unhideWhenUsed/>
    <w:rsid w:val="00BB1A0B"/>
  </w:style>
  <w:style w:type="paragraph" w:styleId="NormalWeb">
    <w:name w:val="Normal (Web)"/>
    <w:basedOn w:val="Normal"/>
    <w:uiPriority w:val="99"/>
    <w:unhideWhenUsed/>
    <w:rsid w:val="00BB1A0B"/>
    <w:pPr>
      <w:spacing w:before="100" w:beforeAutospacing="1" w:after="100" w:afterAutospacing="1"/>
    </w:pPr>
  </w:style>
  <w:style w:type="character" w:styleId="Strong">
    <w:name w:val="Strong"/>
    <w:basedOn w:val="DefaultParagraphFont"/>
    <w:uiPriority w:val="22"/>
    <w:qFormat/>
    <w:rsid w:val="00BB1A0B"/>
    <w:rPr>
      <w:b/>
      <w:bCs/>
    </w:rPr>
  </w:style>
  <w:style w:type="paragraph" w:customStyle="1" w:styleId="p1">
    <w:name w:val="p1"/>
    <w:basedOn w:val="Normal"/>
    <w:rsid w:val="00BB1A0B"/>
    <w:pPr>
      <w:spacing w:before="100" w:beforeAutospacing="1" w:after="100" w:afterAutospacing="1"/>
    </w:pPr>
  </w:style>
  <w:style w:type="paragraph" w:customStyle="1" w:styleId="p2">
    <w:name w:val="p2"/>
    <w:basedOn w:val="Normal"/>
    <w:rsid w:val="00BB1A0B"/>
    <w:pPr>
      <w:spacing w:before="100" w:beforeAutospacing="1" w:after="100" w:afterAutospacing="1"/>
    </w:pPr>
  </w:style>
  <w:style w:type="character" w:styleId="CommentReference">
    <w:name w:val="annotation reference"/>
    <w:basedOn w:val="DefaultParagraphFont"/>
    <w:uiPriority w:val="99"/>
    <w:semiHidden/>
    <w:unhideWhenUsed/>
    <w:rsid w:val="00907257"/>
    <w:rPr>
      <w:sz w:val="16"/>
      <w:szCs w:val="16"/>
    </w:rPr>
  </w:style>
  <w:style w:type="paragraph" w:styleId="CommentText">
    <w:name w:val="annotation text"/>
    <w:basedOn w:val="Normal"/>
    <w:link w:val="CommentTextChar"/>
    <w:uiPriority w:val="99"/>
    <w:semiHidden/>
    <w:unhideWhenUsed/>
    <w:rsid w:val="00907257"/>
    <w:rPr>
      <w:sz w:val="20"/>
      <w:szCs w:val="20"/>
    </w:rPr>
  </w:style>
  <w:style w:type="character" w:customStyle="1" w:styleId="CommentTextChar">
    <w:name w:val="Comment Text Char"/>
    <w:basedOn w:val="DefaultParagraphFont"/>
    <w:link w:val="CommentText"/>
    <w:uiPriority w:val="99"/>
    <w:semiHidden/>
    <w:rsid w:val="00907257"/>
    <w:rPr>
      <w:sz w:val="20"/>
      <w:szCs w:val="20"/>
    </w:rPr>
  </w:style>
  <w:style w:type="paragraph" w:styleId="CommentSubject">
    <w:name w:val="annotation subject"/>
    <w:basedOn w:val="CommentText"/>
    <w:next w:val="CommentText"/>
    <w:link w:val="CommentSubjectChar"/>
    <w:uiPriority w:val="99"/>
    <w:semiHidden/>
    <w:unhideWhenUsed/>
    <w:rsid w:val="00907257"/>
    <w:rPr>
      <w:b/>
      <w:bCs/>
    </w:rPr>
  </w:style>
  <w:style w:type="character" w:customStyle="1" w:styleId="CommentSubjectChar">
    <w:name w:val="Comment Subject Char"/>
    <w:basedOn w:val="CommentTextChar"/>
    <w:link w:val="CommentSubject"/>
    <w:uiPriority w:val="99"/>
    <w:semiHidden/>
    <w:rsid w:val="00907257"/>
    <w:rPr>
      <w:b/>
      <w:bCs/>
      <w:sz w:val="20"/>
      <w:szCs w:val="20"/>
    </w:rPr>
  </w:style>
  <w:style w:type="character" w:customStyle="1" w:styleId="s1">
    <w:name w:val="s1"/>
    <w:basedOn w:val="DefaultParagraphFont"/>
    <w:rsid w:val="00E6462F"/>
  </w:style>
  <w:style w:type="character" w:customStyle="1" w:styleId="s2">
    <w:name w:val="s2"/>
    <w:basedOn w:val="DefaultParagraphFont"/>
    <w:rsid w:val="00E6462F"/>
  </w:style>
  <w:style w:type="paragraph" w:customStyle="1" w:styleId="p3">
    <w:name w:val="p3"/>
    <w:basedOn w:val="Normal"/>
    <w:rsid w:val="00E6462F"/>
    <w:pPr>
      <w:spacing w:before="100" w:beforeAutospacing="1" w:after="100" w:afterAutospacing="1"/>
    </w:pPr>
  </w:style>
  <w:style w:type="paragraph" w:customStyle="1" w:styleId="p4">
    <w:name w:val="p4"/>
    <w:basedOn w:val="Normal"/>
    <w:rsid w:val="00E6462F"/>
    <w:pPr>
      <w:spacing w:before="100" w:beforeAutospacing="1" w:after="100" w:afterAutospacing="1"/>
    </w:pPr>
  </w:style>
  <w:style w:type="character" w:styleId="Hyperlink">
    <w:name w:val="Hyperlink"/>
    <w:basedOn w:val="DefaultParagraphFont"/>
    <w:uiPriority w:val="99"/>
    <w:unhideWhenUsed/>
    <w:rsid w:val="001A1049"/>
    <w:rPr>
      <w:color w:val="467886" w:themeColor="hyperlink"/>
      <w:u w:val="single"/>
    </w:rPr>
  </w:style>
  <w:style w:type="character" w:styleId="UnresolvedMention">
    <w:name w:val="Unresolved Mention"/>
    <w:basedOn w:val="DefaultParagraphFont"/>
    <w:uiPriority w:val="99"/>
    <w:semiHidden/>
    <w:unhideWhenUsed/>
    <w:rsid w:val="001A1049"/>
    <w:rPr>
      <w:color w:val="605E5C"/>
      <w:shd w:val="clear" w:color="auto" w:fill="E1DFDD"/>
    </w:rPr>
  </w:style>
  <w:style w:type="character" w:styleId="Mention">
    <w:name w:val="Mention"/>
    <w:basedOn w:val="DefaultParagraphFont"/>
    <w:uiPriority w:val="99"/>
    <w:unhideWhenUsed/>
    <w:rsid w:val="00705A89"/>
    <w:rPr>
      <w:color w:val="2B579A"/>
      <w:shd w:val="clear" w:color="auto" w:fill="E1DFDD"/>
    </w:rPr>
  </w:style>
  <w:style w:type="paragraph" w:customStyle="1" w:styleId="font-claude-response-body">
    <w:name w:val="font-claude-response-body"/>
    <w:basedOn w:val="Normal"/>
    <w:rsid w:val="002A1AFB"/>
    <w:pPr>
      <w:spacing w:before="100" w:beforeAutospacing="1" w:after="100" w:afterAutospacing="1"/>
    </w:pPr>
    <w:rPr>
      <w:lang w:val="en-CH"/>
    </w:rPr>
  </w:style>
  <w:style w:type="character" w:customStyle="1" w:styleId="apple-converted-space">
    <w:name w:val="apple-converted-space"/>
    <w:basedOn w:val="DefaultParagraphFont"/>
    <w:rsid w:val="0009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1038/s43247-022-00581-9"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3729</Words>
  <Characters>21261</Characters>
  <Application>Microsoft Office Word</Application>
  <DocSecurity>0</DocSecurity>
  <Lines>177</Lines>
  <Paragraphs>49</Paragraphs>
  <ScaleCrop>false</ScaleCrop>
  <Company/>
  <LinksUpToDate>false</LinksUpToDate>
  <CharactersWithSpaces>24941</CharactersWithSpaces>
  <SharedDoc>false</SharedDoc>
  <HLinks>
    <vt:vector size="6" baseType="variant">
      <vt:variant>
        <vt:i4>3014705</vt:i4>
      </vt:variant>
      <vt:variant>
        <vt:i4>0</vt:i4>
      </vt:variant>
      <vt:variant>
        <vt:i4>0</vt:i4>
      </vt:variant>
      <vt:variant>
        <vt:i4>5</vt:i4>
      </vt:variant>
      <vt:variant>
        <vt:lpwstr>https://doi.org/10.1038/s43247-022-00581-9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Lanza  Federica</dc:creator>
  <cp:keywords/>
  <dc:description/>
  <cp:lastModifiedBy>Lanza  Federica</cp:lastModifiedBy>
  <cp:revision>2</cp:revision>
  <dcterms:created xsi:type="dcterms:W3CDTF">2026-03-01T17:24:00Z</dcterms:created>
  <dcterms:modified xsi:type="dcterms:W3CDTF">2026-03-01T17:24:00Z</dcterms:modified>
</cp:coreProperties>
</file>