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4199" w14:textId="77777777" w:rsidR="00DD4B8B" w:rsidRPr="00CB4D20" w:rsidRDefault="00DD4B8B" w:rsidP="00DD4B8B">
      <w:pPr>
        <w:jc w:val="center"/>
        <w:rPr>
          <w:rFonts w:ascii="Times New Roman" w:eastAsia="Times New Roman" w:hAnsi="Times New Roman" w:cs="Times New Roman"/>
          <w:i/>
          <w:iCs/>
          <w:sz w:val="24"/>
          <w:szCs w:val="24"/>
        </w:rPr>
      </w:pPr>
      <w:r w:rsidRPr="00CB4D20">
        <w:rPr>
          <w:rFonts w:ascii="Times New Roman" w:eastAsia="Times New Roman" w:hAnsi="Times New Roman" w:cs="Times New Roman"/>
          <w:i/>
          <w:iCs/>
          <w:sz w:val="24"/>
          <w:szCs w:val="24"/>
        </w:rPr>
        <w:t>Seismica</w:t>
      </w:r>
    </w:p>
    <w:p w14:paraId="1D7945DA" w14:textId="5913F845" w:rsidR="00DD4B8B" w:rsidRPr="00CB4D20" w:rsidRDefault="00DD4B8B" w:rsidP="00DD4B8B">
      <w:pPr>
        <w:jc w:val="center"/>
        <w:rPr>
          <w:rFonts w:ascii="Times New Roman" w:eastAsia="Times New Roman" w:hAnsi="Times New Roman" w:cs="Times New Roman"/>
          <w:sz w:val="24"/>
          <w:szCs w:val="24"/>
        </w:rPr>
      </w:pPr>
      <w:r w:rsidRPr="00CB4D20">
        <w:rPr>
          <w:rFonts w:ascii="Times New Roman" w:eastAsia="Times New Roman" w:hAnsi="Times New Roman" w:cs="Times New Roman"/>
          <w:sz w:val="24"/>
          <w:szCs w:val="24"/>
        </w:rPr>
        <w:t>Supp</w:t>
      </w:r>
      <w:r w:rsidR="00C940FA">
        <w:rPr>
          <w:rFonts w:ascii="Times New Roman" w:eastAsia="Times New Roman" w:hAnsi="Times New Roman" w:cs="Times New Roman"/>
          <w:sz w:val="24"/>
          <w:szCs w:val="24"/>
        </w:rPr>
        <w:t>lementary</w:t>
      </w:r>
      <w:r w:rsidRPr="00CB4D20">
        <w:rPr>
          <w:rFonts w:ascii="Times New Roman" w:eastAsia="Times New Roman" w:hAnsi="Times New Roman" w:cs="Times New Roman"/>
          <w:sz w:val="24"/>
          <w:szCs w:val="24"/>
        </w:rPr>
        <w:t xml:space="preserve"> Information for</w:t>
      </w:r>
    </w:p>
    <w:p w14:paraId="61A35E47" w14:textId="77777777" w:rsidR="00DD4B8B" w:rsidRDefault="00DD4B8B" w:rsidP="00DD4B8B">
      <w:pPr>
        <w:jc w:val="center"/>
        <w:rPr>
          <w:rFonts w:ascii="Times New Roman" w:eastAsia="Times New Roman" w:hAnsi="Times New Roman" w:cs="Times New Roman"/>
          <w:color w:val="222222"/>
          <w:sz w:val="34"/>
          <w:szCs w:val="34"/>
        </w:rPr>
      </w:pPr>
      <w:r>
        <w:rPr>
          <w:rFonts w:ascii="Times New Roman" w:eastAsia="Times New Roman" w:hAnsi="Times New Roman" w:cs="Times New Roman"/>
          <w:sz w:val="34"/>
          <w:szCs w:val="34"/>
        </w:rPr>
        <w:t xml:space="preserve">Source Model and Characteristics of the 27 July 2022 </w:t>
      </w:r>
      <w:r>
        <w:rPr>
          <w:rFonts w:ascii="Times New Roman" w:eastAsia="Times New Roman" w:hAnsi="Times New Roman" w:cs="Times New Roman"/>
          <w:i/>
          <w:sz w:val="34"/>
          <w:szCs w:val="34"/>
        </w:rPr>
        <w:t>M</w:t>
      </w:r>
      <w:r>
        <w:rPr>
          <w:rFonts w:ascii="Times New Roman" w:eastAsia="Times New Roman" w:hAnsi="Times New Roman" w:cs="Times New Roman"/>
          <w:i/>
          <w:sz w:val="34"/>
          <w:szCs w:val="34"/>
          <w:vertAlign w:val="subscript"/>
        </w:rPr>
        <w:t>W</w:t>
      </w:r>
      <w:r>
        <w:rPr>
          <w:rFonts w:ascii="Times New Roman" w:eastAsia="Times New Roman" w:hAnsi="Times New Roman" w:cs="Times New Roman"/>
          <w:sz w:val="34"/>
          <w:szCs w:val="34"/>
        </w:rPr>
        <w:t xml:space="preserve"> 7.0 Northwestern Luzon Earthquake, Philippines</w:t>
      </w:r>
    </w:p>
    <w:p w14:paraId="5364BEFB" w14:textId="77777777" w:rsidR="00DD4B8B" w:rsidRDefault="00DD4B8B" w:rsidP="00DD4B8B">
      <w:pPr>
        <w:spacing w:before="240" w:after="24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Jeremy M. Rimando</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Amy L. Williamson</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Raul Benjamin C. Mendoza</w:t>
      </w:r>
      <w:r>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 Tiegan E. Hobbs</w:t>
      </w:r>
      <w:r>
        <w:rPr>
          <w:rFonts w:ascii="Times New Roman" w:eastAsia="Times New Roman" w:hAnsi="Times New Roman" w:cs="Times New Roman"/>
          <w:sz w:val="24"/>
          <w:szCs w:val="24"/>
          <w:vertAlign w:val="superscript"/>
        </w:rPr>
        <w:t>1,4,5</w:t>
      </w:r>
    </w:p>
    <w:p w14:paraId="5AFF8051" w14:textId="77777777" w:rsidR="00DD4B8B" w:rsidRDefault="00DD4B8B" w:rsidP="00DD4B8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Geological Survey of Canada – Pacific, Natural Resources Canada, 605 Robson St Suite 1500, Vancouver, BC V6B 5J3, Canada</w:t>
      </w:r>
    </w:p>
    <w:p w14:paraId="16EA9B2A" w14:textId="77777777" w:rsidR="00DD4B8B" w:rsidRDefault="00DD4B8B" w:rsidP="00DD4B8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School of Earth, Environment &amp; Society, McMaster University, 1280 Main Street West, Hamilton, ON, L8S 4K1, Canada</w:t>
      </w:r>
    </w:p>
    <w:p w14:paraId="414F57C6" w14:textId="77777777" w:rsidR="00DD4B8B" w:rsidRDefault="00DD4B8B" w:rsidP="00DD4B8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Berkeley Seismological Laboratory, University of California Berkeley, 307 McCone Hall #4760, Berkeley, CA 94720-4760, USA</w:t>
      </w:r>
    </w:p>
    <w:p w14:paraId="1BE725A4" w14:textId="77777777" w:rsidR="00DD4B8B" w:rsidRDefault="00DD4B8B" w:rsidP="00DD4B8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Department of Earth, Ocean and Atmospheric Sciences, University of British Columbia, 2207 Main Mall #2020, Vancouver, BC, V6T 1Z4, Canada</w:t>
      </w:r>
    </w:p>
    <w:p w14:paraId="0D9BCED6" w14:textId="77777777" w:rsidR="00DD4B8B" w:rsidRDefault="00DD4B8B" w:rsidP="00DD4B8B">
      <w:pPr>
        <w:spacing w:line="240" w:lineRule="auto"/>
        <w:jc w:val="center"/>
        <w:rPr>
          <w:rFonts w:ascii="Times New Roman" w:eastAsia="Times New Roman" w:hAnsi="Times New Roman" w:cs="Times New Roman"/>
          <w:color w:val="333333"/>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School of Earth and Ocean Sciences, University of Victoria, </w:t>
      </w:r>
      <w:r>
        <w:rPr>
          <w:rFonts w:ascii="Times New Roman" w:eastAsia="Times New Roman" w:hAnsi="Times New Roman" w:cs="Times New Roman"/>
          <w:color w:val="333333"/>
          <w:sz w:val="20"/>
          <w:szCs w:val="20"/>
          <w:highlight w:val="white"/>
        </w:rPr>
        <w:t>Bob Wright Centre A405, University of Victoria, Victoria BC V8W 2Y2, Canada</w:t>
      </w:r>
    </w:p>
    <w:p w14:paraId="080A24A2" w14:textId="77777777" w:rsidR="00DD4B8B" w:rsidRPr="001E68A3" w:rsidRDefault="00DD4B8B" w:rsidP="00DD4B8B">
      <w:pPr>
        <w:spacing w:line="240" w:lineRule="auto"/>
        <w:rPr>
          <w:rFonts w:ascii="Times New Roman" w:eastAsia="Times New Roman" w:hAnsi="Times New Roman" w:cs="Times New Roman"/>
          <w:color w:val="333333"/>
          <w:sz w:val="24"/>
          <w:szCs w:val="24"/>
        </w:rPr>
      </w:pPr>
    </w:p>
    <w:p w14:paraId="082C0185" w14:textId="77777777" w:rsidR="00DD4B8B" w:rsidRPr="001E68A3" w:rsidRDefault="00DD4B8B" w:rsidP="00DD4B8B">
      <w:pPr>
        <w:spacing w:after="0" w:line="240" w:lineRule="auto"/>
        <w:rPr>
          <w:rFonts w:ascii="Times New Roman" w:eastAsia="Times New Roman" w:hAnsi="Times New Roman" w:cs="Times New Roman"/>
          <w:b/>
          <w:bCs/>
          <w:color w:val="333333"/>
          <w:sz w:val="24"/>
          <w:szCs w:val="24"/>
        </w:rPr>
      </w:pPr>
      <w:r w:rsidRPr="001E68A3">
        <w:rPr>
          <w:rFonts w:ascii="Times New Roman" w:hAnsi="Times New Roman" w:cs="Times New Roman"/>
          <w:b/>
          <w:bCs/>
          <w:noProof/>
          <w:sz w:val="24"/>
          <w:szCs w:val="24"/>
        </w:rPr>
        <w:t>Contents of this file</w:t>
      </w:r>
    </w:p>
    <w:p w14:paraId="1B42F44E" w14:textId="760BA127" w:rsidR="00DD4B8B" w:rsidRPr="001E68A3" w:rsidRDefault="00DD4B8B" w:rsidP="00DD4B8B">
      <w:pPr>
        <w:keepNext/>
        <w:spacing w:after="0" w:line="240" w:lineRule="auto"/>
        <w:jc w:val="both"/>
        <w:rPr>
          <w:rFonts w:ascii="Times New Roman" w:hAnsi="Times New Roman" w:cs="Times New Roman"/>
          <w:noProof/>
          <w:sz w:val="24"/>
          <w:szCs w:val="24"/>
        </w:rPr>
      </w:pPr>
      <w:r w:rsidRPr="001E68A3">
        <w:rPr>
          <w:rFonts w:ascii="Times New Roman" w:hAnsi="Times New Roman" w:cs="Times New Roman"/>
          <w:noProof/>
          <w:sz w:val="24"/>
          <w:szCs w:val="24"/>
        </w:rPr>
        <w:t>Figures S1 to S19</w:t>
      </w:r>
      <w:r w:rsidRPr="001E68A3">
        <w:rPr>
          <w:rFonts w:ascii="Times New Roman" w:hAnsi="Times New Roman" w:cs="Times New Roman"/>
          <w:noProof/>
          <w:sz w:val="24"/>
          <w:szCs w:val="24"/>
        </w:rPr>
        <w:cr/>
      </w:r>
    </w:p>
    <w:p w14:paraId="42C12053" w14:textId="6D3FFC6D" w:rsidR="00DD4B8B" w:rsidRDefault="00DD4B8B" w:rsidP="00DD4B8B">
      <w:pPr>
        <w:spacing w:after="0" w:line="240" w:lineRule="auto"/>
      </w:pPr>
      <w:r>
        <w:rPr>
          <w:noProof/>
        </w:rPr>
        <w:drawing>
          <wp:inline distT="0" distB="0" distL="0" distR="0" wp14:anchorId="340F4745" wp14:editId="2AAE2900">
            <wp:extent cx="2581275" cy="20650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82363" cy="2065890"/>
                    </a:xfrm>
                    <a:prstGeom prst="rect">
                      <a:avLst/>
                    </a:prstGeom>
                    <a:noFill/>
                    <a:ln>
                      <a:noFill/>
                    </a:ln>
                  </pic:spPr>
                </pic:pic>
              </a:graphicData>
            </a:graphic>
          </wp:inline>
        </w:drawing>
      </w:r>
    </w:p>
    <w:p w14:paraId="0601DBFC" w14:textId="30A0087E"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S1.</w:t>
      </w:r>
      <w:r w:rsidRPr="00DD4B8B">
        <w:rPr>
          <w:rFonts w:ascii="Times New Roman" w:hAnsi="Times New Roman" w:cs="Times New Roman"/>
          <w:sz w:val="24"/>
          <w:szCs w:val="24"/>
        </w:rPr>
        <w:t xml:space="preserve"> Smoothing vs</w:t>
      </w:r>
      <w:r w:rsidR="00A044D7">
        <w:rPr>
          <w:rFonts w:ascii="Times New Roman" w:hAnsi="Times New Roman" w:cs="Times New Roman"/>
          <w:sz w:val="24"/>
          <w:szCs w:val="24"/>
        </w:rPr>
        <w:t>.</w:t>
      </w:r>
      <w:r w:rsidRPr="00DD4B8B">
        <w:rPr>
          <w:rFonts w:ascii="Times New Roman" w:hAnsi="Times New Roman" w:cs="Times New Roman"/>
          <w:sz w:val="24"/>
          <w:szCs w:val="24"/>
        </w:rPr>
        <w:t xml:space="preserve"> misfit curves for the Abra River Fault (orange) and Vigan-Aggao Fault (blue) for a range of regularization constants. The preferred model for both faults is generally at the minimum of the curves and represents a point between over-fitting the model and over-smoothing</w:t>
      </w:r>
      <w:r w:rsidR="00F12383">
        <w:rPr>
          <w:rFonts w:ascii="Times New Roman" w:hAnsi="Times New Roman" w:cs="Times New Roman"/>
          <w:sz w:val="24"/>
          <w:szCs w:val="24"/>
        </w:rPr>
        <w:t>; t</w:t>
      </w:r>
      <w:r w:rsidRPr="00DD4B8B">
        <w:rPr>
          <w:rFonts w:ascii="Times New Roman" w:hAnsi="Times New Roman" w:cs="Times New Roman"/>
          <w:sz w:val="24"/>
          <w:szCs w:val="24"/>
        </w:rPr>
        <w:t xml:space="preserve">hat point for both models is shown with a hollow </w:t>
      </w:r>
      <w:r>
        <w:rPr>
          <w:rFonts w:ascii="Times New Roman" w:hAnsi="Times New Roman" w:cs="Times New Roman"/>
          <w:sz w:val="24"/>
          <w:szCs w:val="24"/>
        </w:rPr>
        <w:t xml:space="preserve">icon. </w:t>
      </w:r>
    </w:p>
    <w:p w14:paraId="1060FF22" w14:textId="7B4B2189" w:rsidR="00DD4B8B" w:rsidRDefault="00DD4B8B" w:rsidP="00DD4B8B">
      <w:pPr>
        <w:spacing w:after="0" w:line="240" w:lineRule="auto"/>
        <w:rPr>
          <w:rFonts w:ascii="Times New Roman" w:hAnsi="Times New Roman" w:cs="Times New Roman"/>
          <w:sz w:val="24"/>
          <w:szCs w:val="24"/>
        </w:rPr>
      </w:pPr>
    </w:p>
    <w:p w14:paraId="0C527025" w14:textId="43A554BC" w:rsidR="00DD4B8B" w:rsidRPr="00DD4B8B" w:rsidRDefault="00DD4B8B" w:rsidP="00DD4B8B">
      <w:pPr>
        <w:spacing w:after="0" w:line="240" w:lineRule="auto"/>
        <w:rPr>
          <w:rFonts w:ascii="Times New Roman" w:hAnsi="Times New Roman" w:cs="Times New Roman"/>
          <w:sz w:val="24"/>
          <w:szCs w:val="24"/>
        </w:rPr>
      </w:pPr>
      <w:r>
        <w:rPr>
          <w:noProof/>
        </w:rPr>
        <w:lastRenderedPageBreak/>
        <w:drawing>
          <wp:inline distT="0" distB="0" distL="0" distR="0" wp14:anchorId="27757C9B" wp14:editId="425800E0">
            <wp:extent cx="5036457" cy="747851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8267" cy="7510901"/>
                    </a:xfrm>
                    <a:prstGeom prst="rect">
                      <a:avLst/>
                    </a:prstGeom>
                    <a:noFill/>
                    <a:ln>
                      <a:noFill/>
                    </a:ln>
                  </pic:spPr>
                </pic:pic>
              </a:graphicData>
            </a:graphic>
          </wp:inline>
        </w:drawing>
      </w:r>
    </w:p>
    <w:p w14:paraId="4EA0A7A5" w14:textId="7F7F2E42"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S2.</w:t>
      </w:r>
      <w:r w:rsidRPr="00DD4B8B">
        <w:rPr>
          <w:rFonts w:ascii="Times New Roman" w:hAnsi="Times New Roman" w:cs="Times New Roman"/>
          <w:sz w:val="24"/>
          <w:szCs w:val="24"/>
        </w:rPr>
        <w:t xml:space="preserve"> </w:t>
      </w:r>
      <w:r w:rsidR="00A044D7">
        <w:rPr>
          <w:rFonts w:ascii="Times New Roman" w:hAnsi="Times New Roman" w:cs="Times New Roman"/>
          <w:sz w:val="24"/>
          <w:szCs w:val="24"/>
        </w:rPr>
        <w:t xml:space="preserve">Panel </w:t>
      </w:r>
      <w:r w:rsidRPr="00DD4B8B">
        <w:rPr>
          <w:rFonts w:ascii="Times New Roman" w:hAnsi="Times New Roman" w:cs="Times New Roman"/>
          <w:sz w:val="24"/>
          <w:szCs w:val="24"/>
        </w:rPr>
        <w:t xml:space="preserve">A shows the slip distribution for our preferred model using an interpretation of the Vigan-Aggao fault source geometry. </w:t>
      </w:r>
      <w:r w:rsidR="0088373D">
        <w:rPr>
          <w:rFonts w:ascii="Times New Roman" w:hAnsi="Times New Roman" w:cs="Times New Roman"/>
          <w:sz w:val="24"/>
          <w:szCs w:val="24"/>
        </w:rPr>
        <w:t>The r</w:t>
      </w:r>
      <w:r w:rsidRPr="00DD4B8B">
        <w:rPr>
          <w:rFonts w:ascii="Times New Roman" w:hAnsi="Times New Roman" w:cs="Times New Roman"/>
          <w:sz w:val="24"/>
          <w:szCs w:val="24"/>
        </w:rPr>
        <w:t>ake angle of the slip is plotted as black arrows. Slip is broken down by dip-slip (positive slip is thrust) and strike-slip (positive slip is left-lateral) components in panels B and C, respectively.</w:t>
      </w:r>
    </w:p>
    <w:p w14:paraId="044C3724" w14:textId="77777777" w:rsidR="00DD4B8B" w:rsidRPr="00DD4B8B" w:rsidRDefault="00DD4B8B" w:rsidP="00DD4B8B">
      <w:pPr>
        <w:spacing w:after="0" w:line="240" w:lineRule="auto"/>
        <w:rPr>
          <w:rFonts w:ascii="Times New Roman" w:hAnsi="Times New Roman" w:cs="Times New Roman"/>
          <w:sz w:val="24"/>
          <w:szCs w:val="24"/>
        </w:rPr>
      </w:pPr>
    </w:p>
    <w:p w14:paraId="3F4ADAE4" w14:textId="7E09C997" w:rsidR="00DD4B8B" w:rsidRDefault="00DD4B8B" w:rsidP="00DD4B8B">
      <w:pPr>
        <w:spacing w:after="0" w:line="240" w:lineRule="auto"/>
        <w:rPr>
          <w:rFonts w:ascii="Times New Roman" w:hAnsi="Times New Roman" w:cs="Times New Roman"/>
          <w:sz w:val="24"/>
          <w:szCs w:val="24"/>
        </w:rPr>
      </w:pPr>
      <w:r w:rsidRPr="00DD4B8B">
        <w:rPr>
          <w:rFonts w:ascii="Times New Roman" w:hAnsi="Times New Roman" w:cs="Times New Roman"/>
          <w:sz w:val="24"/>
          <w:szCs w:val="24"/>
        </w:rPr>
        <w:t xml:space="preserve"> </w:t>
      </w:r>
      <w:r>
        <w:rPr>
          <w:noProof/>
        </w:rPr>
        <w:drawing>
          <wp:inline distT="0" distB="0" distL="0" distR="0" wp14:anchorId="44D500B5" wp14:editId="12FA1B3F">
            <wp:extent cx="5095559" cy="7316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8478" cy="7363737"/>
                    </a:xfrm>
                    <a:prstGeom prst="rect">
                      <a:avLst/>
                    </a:prstGeom>
                    <a:noFill/>
                    <a:ln>
                      <a:noFill/>
                    </a:ln>
                  </pic:spPr>
                </pic:pic>
              </a:graphicData>
            </a:graphic>
          </wp:inline>
        </w:drawing>
      </w:r>
    </w:p>
    <w:p w14:paraId="4F354F0F" w14:textId="0D62CEE0"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S3.</w:t>
      </w:r>
      <w:r w:rsidRPr="00DD4B8B">
        <w:rPr>
          <w:rFonts w:ascii="Times New Roman" w:hAnsi="Times New Roman" w:cs="Times New Roman"/>
          <w:sz w:val="24"/>
          <w:szCs w:val="24"/>
        </w:rPr>
        <w:t xml:space="preserve"> </w:t>
      </w:r>
      <w:r w:rsidR="00A044D7">
        <w:rPr>
          <w:rFonts w:ascii="Times New Roman" w:hAnsi="Times New Roman" w:cs="Times New Roman"/>
          <w:sz w:val="24"/>
          <w:szCs w:val="24"/>
        </w:rPr>
        <w:t xml:space="preserve">Panel </w:t>
      </w:r>
      <w:r w:rsidRPr="00DD4B8B">
        <w:rPr>
          <w:rFonts w:ascii="Times New Roman" w:hAnsi="Times New Roman" w:cs="Times New Roman"/>
          <w:sz w:val="24"/>
          <w:szCs w:val="24"/>
        </w:rPr>
        <w:t xml:space="preserve">A shows the slip distribution for our preferred model using an interpretation of the </w:t>
      </w:r>
      <w:r w:rsidR="00374394">
        <w:rPr>
          <w:rFonts w:ascii="Times New Roman" w:hAnsi="Times New Roman" w:cs="Times New Roman"/>
          <w:sz w:val="24"/>
          <w:szCs w:val="24"/>
        </w:rPr>
        <w:t xml:space="preserve">W. of </w:t>
      </w:r>
      <w:r w:rsidRPr="00DD4B8B">
        <w:rPr>
          <w:rFonts w:ascii="Times New Roman" w:hAnsi="Times New Roman" w:cs="Times New Roman"/>
          <w:sz w:val="24"/>
          <w:szCs w:val="24"/>
        </w:rPr>
        <w:t xml:space="preserve">Abra River Fault source geometry. </w:t>
      </w:r>
      <w:r w:rsidR="0088373D">
        <w:rPr>
          <w:rFonts w:ascii="Times New Roman" w:hAnsi="Times New Roman" w:cs="Times New Roman"/>
          <w:sz w:val="24"/>
          <w:szCs w:val="24"/>
        </w:rPr>
        <w:t>The r</w:t>
      </w:r>
      <w:r w:rsidRPr="00DD4B8B">
        <w:rPr>
          <w:rFonts w:ascii="Times New Roman" w:hAnsi="Times New Roman" w:cs="Times New Roman"/>
          <w:sz w:val="24"/>
          <w:szCs w:val="24"/>
        </w:rPr>
        <w:t>ake angle of the slip is plotted as black arrows. Slip is broken down by dip-slip (positive slip is thrust) and strike-slip (positive slip is left-lateral) components in panels B and C, respectively.</w:t>
      </w:r>
    </w:p>
    <w:p w14:paraId="4B26C0E6" w14:textId="77777777" w:rsidR="00DD4B8B" w:rsidRPr="00DD4B8B" w:rsidRDefault="00DD4B8B" w:rsidP="00DD4B8B">
      <w:pPr>
        <w:spacing w:after="0" w:line="240" w:lineRule="auto"/>
        <w:rPr>
          <w:rFonts w:ascii="Times New Roman" w:hAnsi="Times New Roman" w:cs="Times New Roman"/>
          <w:sz w:val="24"/>
          <w:szCs w:val="24"/>
        </w:rPr>
      </w:pPr>
      <w:r w:rsidRPr="00DD4B8B">
        <w:rPr>
          <w:rFonts w:ascii="Times New Roman" w:hAnsi="Times New Roman" w:cs="Times New Roman"/>
          <w:sz w:val="24"/>
          <w:szCs w:val="24"/>
        </w:rPr>
        <w:lastRenderedPageBreak/>
        <w:t xml:space="preserve"> </w:t>
      </w:r>
    </w:p>
    <w:p w14:paraId="6A2E80B4" w14:textId="77777777" w:rsid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035A9B97" wp14:editId="59AEA75B">
            <wp:extent cx="5463099" cy="3396343"/>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1500" cy="3401566"/>
                    </a:xfrm>
                    <a:prstGeom prst="rect">
                      <a:avLst/>
                    </a:prstGeom>
                    <a:noFill/>
                    <a:ln>
                      <a:noFill/>
                    </a:ln>
                  </pic:spPr>
                </pic:pic>
              </a:graphicData>
            </a:graphic>
          </wp:inline>
        </w:drawing>
      </w:r>
    </w:p>
    <w:p w14:paraId="28C31837" w14:textId="2A895E9D" w:rsid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S4.</w:t>
      </w:r>
      <w:r w:rsidRPr="00DD4B8B">
        <w:rPr>
          <w:rFonts w:ascii="Times New Roman" w:hAnsi="Times New Roman" w:cs="Times New Roman"/>
          <w:sz w:val="24"/>
          <w:szCs w:val="24"/>
        </w:rPr>
        <w:t xml:space="preserve">   Input </w:t>
      </w:r>
      <w:r w:rsidR="00374394">
        <w:rPr>
          <w:rFonts w:ascii="Times New Roman" w:hAnsi="Times New Roman" w:cs="Times New Roman"/>
          <w:sz w:val="24"/>
          <w:szCs w:val="24"/>
        </w:rPr>
        <w:t>c</w:t>
      </w:r>
      <w:r w:rsidRPr="00DD4B8B">
        <w:rPr>
          <w:rFonts w:ascii="Times New Roman" w:hAnsi="Times New Roman" w:cs="Times New Roman"/>
          <w:sz w:val="24"/>
          <w:szCs w:val="24"/>
        </w:rPr>
        <w:t xml:space="preserve">heckerboard solution for both faults. Both the VAF and </w:t>
      </w:r>
      <w:r w:rsidR="00374394">
        <w:rPr>
          <w:rFonts w:ascii="Times New Roman" w:hAnsi="Times New Roman" w:cs="Times New Roman"/>
          <w:sz w:val="24"/>
          <w:szCs w:val="24"/>
        </w:rPr>
        <w:t xml:space="preserve">the W. of </w:t>
      </w:r>
      <w:r w:rsidRPr="00DD4B8B">
        <w:rPr>
          <w:rFonts w:ascii="Times New Roman" w:hAnsi="Times New Roman" w:cs="Times New Roman"/>
          <w:sz w:val="24"/>
          <w:szCs w:val="24"/>
        </w:rPr>
        <w:t xml:space="preserve">ARF faults have the same number of fault patches along strike and dip. The orientation in relation to the LOS data varies between the two faults. </w:t>
      </w:r>
    </w:p>
    <w:p w14:paraId="7DE153FE" w14:textId="48603394" w:rsidR="00DD4B8B" w:rsidRDefault="00DD4B8B" w:rsidP="00DD4B8B">
      <w:pPr>
        <w:spacing w:after="0" w:line="240" w:lineRule="auto"/>
        <w:rPr>
          <w:rFonts w:ascii="Times New Roman" w:hAnsi="Times New Roman" w:cs="Times New Roman"/>
          <w:sz w:val="24"/>
          <w:szCs w:val="24"/>
        </w:rPr>
      </w:pPr>
    </w:p>
    <w:p w14:paraId="2DA79BCB" w14:textId="0F0F1A7F" w:rsidR="00DD4B8B" w:rsidRP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07F42930" wp14:editId="7556043E">
            <wp:extent cx="5486400" cy="325080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3473" cy="3272776"/>
                    </a:xfrm>
                    <a:prstGeom prst="rect">
                      <a:avLst/>
                    </a:prstGeom>
                    <a:noFill/>
                    <a:ln>
                      <a:noFill/>
                    </a:ln>
                  </pic:spPr>
                </pic:pic>
              </a:graphicData>
            </a:graphic>
          </wp:inline>
        </w:drawing>
      </w:r>
    </w:p>
    <w:p w14:paraId="5F84B598" w14:textId="265FDCF7"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S5.</w:t>
      </w:r>
      <w:r w:rsidRPr="00DD4B8B">
        <w:rPr>
          <w:rFonts w:ascii="Times New Roman" w:hAnsi="Times New Roman" w:cs="Times New Roman"/>
          <w:sz w:val="24"/>
          <w:szCs w:val="24"/>
        </w:rPr>
        <w:t xml:space="preserve"> Checkerboard solution for the Vigan-Aggao fault source geometry, with dip slip checkers.</w:t>
      </w:r>
    </w:p>
    <w:p w14:paraId="01376A3B" w14:textId="77777777" w:rsidR="00DD4B8B" w:rsidRPr="00DD4B8B" w:rsidRDefault="00DD4B8B" w:rsidP="00DD4B8B">
      <w:pPr>
        <w:spacing w:after="0" w:line="240" w:lineRule="auto"/>
        <w:rPr>
          <w:rFonts w:ascii="Times New Roman" w:hAnsi="Times New Roman" w:cs="Times New Roman"/>
          <w:sz w:val="24"/>
          <w:szCs w:val="24"/>
        </w:rPr>
      </w:pPr>
    </w:p>
    <w:p w14:paraId="45F2FD06" w14:textId="77777777" w:rsidR="00DD4B8B" w:rsidRPr="00DD4B8B" w:rsidRDefault="00DD4B8B" w:rsidP="00DD4B8B">
      <w:pPr>
        <w:spacing w:after="0" w:line="240" w:lineRule="auto"/>
        <w:rPr>
          <w:rFonts w:ascii="Times New Roman" w:hAnsi="Times New Roman" w:cs="Times New Roman"/>
          <w:sz w:val="24"/>
          <w:szCs w:val="24"/>
        </w:rPr>
      </w:pPr>
    </w:p>
    <w:p w14:paraId="15E1B3BD" w14:textId="77777777" w:rsidR="00DD4B8B" w:rsidRPr="00DD4B8B" w:rsidRDefault="00DD4B8B" w:rsidP="00DD4B8B">
      <w:pPr>
        <w:spacing w:after="0" w:line="240" w:lineRule="auto"/>
        <w:rPr>
          <w:rFonts w:ascii="Times New Roman" w:hAnsi="Times New Roman" w:cs="Times New Roman"/>
          <w:sz w:val="24"/>
          <w:szCs w:val="24"/>
        </w:rPr>
      </w:pPr>
      <w:r w:rsidRPr="00DD4B8B">
        <w:rPr>
          <w:rFonts w:ascii="Times New Roman" w:hAnsi="Times New Roman" w:cs="Times New Roman"/>
          <w:sz w:val="24"/>
          <w:szCs w:val="24"/>
        </w:rPr>
        <w:t xml:space="preserve"> </w:t>
      </w:r>
    </w:p>
    <w:p w14:paraId="2FE337A0" w14:textId="77777777" w:rsid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58CBE671" wp14:editId="041BE6F4">
            <wp:extent cx="5486400" cy="32074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0815" cy="3215861"/>
                    </a:xfrm>
                    <a:prstGeom prst="rect">
                      <a:avLst/>
                    </a:prstGeom>
                    <a:noFill/>
                    <a:ln>
                      <a:noFill/>
                    </a:ln>
                  </pic:spPr>
                </pic:pic>
              </a:graphicData>
            </a:graphic>
          </wp:inline>
        </w:drawing>
      </w:r>
    </w:p>
    <w:p w14:paraId="0EB90F76" w14:textId="4ED4C333"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sz w:val="24"/>
          <w:szCs w:val="24"/>
        </w:rPr>
        <w:t xml:space="preserve"> </w:t>
      </w:r>
      <w:r w:rsidRPr="00DD4B8B">
        <w:rPr>
          <w:rFonts w:ascii="Times New Roman" w:hAnsi="Times New Roman" w:cs="Times New Roman"/>
          <w:b/>
          <w:bCs/>
          <w:sz w:val="24"/>
          <w:szCs w:val="24"/>
        </w:rPr>
        <w:t>S6.</w:t>
      </w:r>
      <w:r w:rsidRPr="00DD4B8B">
        <w:rPr>
          <w:rFonts w:ascii="Times New Roman" w:hAnsi="Times New Roman" w:cs="Times New Roman"/>
          <w:sz w:val="24"/>
          <w:szCs w:val="24"/>
        </w:rPr>
        <w:t xml:space="preserve"> Checkerboard solution for the Vigan-Aggao fault source geometry, with strike-slip checkers. Strong smearing in the checkers occurs with greater depth due to limited resolution.</w:t>
      </w:r>
    </w:p>
    <w:p w14:paraId="6C92E560" w14:textId="77777777" w:rsidR="00DD4B8B" w:rsidRPr="00DD4B8B" w:rsidRDefault="00DD4B8B" w:rsidP="00DD4B8B">
      <w:pPr>
        <w:spacing w:after="0" w:line="240" w:lineRule="auto"/>
        <w:rPr>
          <w:rFonts w:ascii="Times New Roman" w:hAnsi="Times New Roman" w:cs="Times New Roman"/>
          <w:sz w:val="24"/>
          <w:szCs w:val="24"/>
        </w:rPr>
      </w:pPr>
    </w:p>
    <w:p w14:paraId="5A7686F7" w14:textId="77777777" w:rsidR="00DD4B8B" w:rsidRPr="00DD4B8B" w:rsidRDefault="00DD4B8B" w:rsidP="00DD4B8B">
      <w:pPr>
        <w:spacing w:after="0" w:line="240" w:lineRule="auto"/>
        <w:rPr>
          <w:rFonts w:ascii="Times New Roman" w:hAnsi="Times New Roman" w:cs="Times New Roman"/>
          <w:sz w:val="24"/>
          <w:szCs w:val="24"/>
        </w:rPr>
      </w:pPr>
      <w:r w:rsidRPr="00DD4B8B">
        <w:rPr>
          <w:rFonts w:ascii="Times New Roman" w:hAnsi="Times New Roman" w:cs="Times New Roman"/>
          <w:sz w:val="24"/>
          <w:szCs w:val="24"/>
        </w:rPr>
        <w:t xml:space="preserve"> </w:t>
      </w:r>
    </w:p>
    <w:p w14:paraId="10248B93" w14:textId="77777777" w:rsidR="00DD4B8B" w:rsidRPr="00DD4B8B" w:rsidRDefault="00DD4B8B" w:rsidP="00DD4B8B">
      <w:pPr>
        <w:spacing w:after="0" w:line="240" w:lineRule="auto"/>
        <w:rPr>
          <w:rFonts w:ascii="Times New Roman" w:hAnsi="Times New Roman" w:cs="Times New Roman"/>
          <w:sz w:val="24"/>
          <w:szCs w:val="24"/>
        </w:rPr>
      </w:pPr>
    </w:p>
    <w:p w14:paraId="650B31B5" w14:textId="09906BC9" w:rsidR="00DD4B8B" w:rsidRP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6038392C" wp14:editId="62566543">
            <wp:extent cx="5486400" cy="33346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2536" cy="3344437"/>
                    </a:xfrm>
                    <a:prstGeom prst="rect">
                      <a:avLst/>
                    </a:prstGeom>
                    <a:noFill/>
                    <a:ln>
                      <a:noFill/>
                    </a:ln>
                  </pic:spPr>
                </pic:pic>
              </a:graphicData>
            </a:graphic>
          </wp:inline>
        </w:drawing>
      </w:r>
    </w:p>
    <w:p w14:paraId="797EEC81" w14:textId="17A90CB8"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b/>
          <w:bCs/>
          <w:sz w:val="24"/>
          <w:szCs w:val="24"/>
        </w:rPr>
        <w:t xml:space="preserve"> S7.</w:t>
      </w:r>
      <w:r w:rsidRPr="00DD4B8B">
        <w:rPr>
          <w:rFonts w:ascii="Times New Roman" w:hAnsi="Times New Roman" w:cs="Times New Roman"/>
          <w:sz w:val="24"/>
          <w:szCs w:val="24"/>
        </w:rPr>
        <w:t xml:space="preserve"> Checkerboard solution for the </w:t>
      </w:r>
      <w:r w:rsidR="00374394">
        <w:rPr>
          <w:rFonts w:ascii="Times New Roman" w:hAnsi="Times New Roman" w:cs="Times New Roman"/>
          <w:sz w:val="24"/>
          <w:szCs w:val="24"/>
        </w:rPr>
        <w:t xml:space="preserve">W. of </w:t>
      </w:r>
      <w:r w:rsidRPr="00DD4B8B">
        <w:rPr>
          <w:rFonts w:ascii="Times New Roman" w:hAnsi="Times New Roman" w:cs="Times New Roman"/>
          <w:sz w:val="24"/>
          <w:szCs w:val="24"/>
        </w:rPr>
        <w:t>Abra River Fault source geometry, with dip slip checkers.</w:t>
      </w:r>
    </w:p>
    <w:p w14:paraId="15440574" w14:textId="77777777" w:rsidR="00DD4B8B" w:rsidRPr="00DD4B8B" w:rsidRDefault="00DD4B8B" w:rsidP="00DD4B8B">
      <w:pPr>
        <w:spacing w:after="0" w:line="240" w:lineRule="auto"/>
        <w:rPr>
          <w:rFonts w:ascii="Times New Roman" w:hAnsi="Times New Roman" w:cs="Times New Roman"/>
          <w:sz w:val="24"/>
          <w:szCs w:val="24"/>
        </w:rPr>
      </w:pPr>
    </w:p>
    <w:p w14:paraId="6D91FEE4" w14:textId="77777777" w:rsidR="00DD4B8B" w:rsidRPr="00DD4B8B" w:rsidRDefault="00DD4B8B" w:rsidP="00DD4B8B">
      <w:pPr>
        <w:spacing w:after="0" w:line="240" w:lineRule="auto"/>
        <w:rPr>
          <w:rFonts w:ascii="Times New Roman" w:hAnsi="Times New Roman" w:cs="Times New Roman"/>
          <w:sz w:val="24"/>
          <w:szCs w:val="24"/>
        </w:rPr>
      </w:pPr>
      <w:r w:rsidRPr="00DD4B8B">
        <w:rPr>
          <w:rFonts w:ascii="Times New Roman" w:hAnsi="Times New Roman" w:cs="Times New Roman"/>
          <w:sz w:val="24"/>
          <w:szCs w:val="24"/>
        </w:rPr>
        <w:t xml:space="preserve"> </w:t>
      </w:r>
    </w:p>
    <w:p w14:paraId="35B14F44" w14:textId="77777777" w:rsid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1F4A7396" wp14:editId="471AA9AB">
            <wp:extent cx="5490058" cy="304064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2915" cy="3047769"/>
                    </a:xfrm>
                    <a:prstGeom prst="rect">
                      <a:avLst/>
                    </a:prstGeom>
                    <a:noFill/>
                    <a:ln>
                      <a:noFill/>
                    </a:ln>
                  </pic:spPr>
                </pic:pic>
              </a:graphicData>
            </a:graphic>
          </wp:inline>
        </w:drawing>
      </w:r>
    </w:p>
    <w:p w14:paraId="14EC632C" w14:textId="190A2253" w:rsidR="00DD4B8B" w:rsidRPr="00DD4B8B" w:rsidRDefault="00DD4B8B" w:rsidP="00DD4B8B">
      <w:pPr>
        <w:spacing w:after="0" w:line="240" w:lineRule="auto"/>
        <w:rPr>
          <w:rFonts w:ascii="Times New Roman" w:hAnsi="Times New Roman" w:cs="Times New Roman"/>
          <w:sz w:val="24"/>
          <w:szCs w:val="24"/>
        </w:rPr>
      </w:pPr>
      <w:r>
        <w:rPr>
          <w:rFonts w:ascii="Times New Roman" w:hAnsi="Times New Roman" w:cs="Times New Roman"/>
          <w:b/>
          <w:bCs/>
          <w:sz w:val="24"/>
          <w:szCs w:val="24"/>
        </w:rPr>
        <w:t>Figure</w:t>
      </w:r>
      <w:r w:rsidRPr="00DD4B8B">
        <w:rPr>
          <w:rFonts w:ascii="Times New Roman" w:hAnsi="Times New Roman" w:cs="Times New Roman"/>
          <w:b/>
          <w:bCs/>
          <w:sz w:val="24"/>
          <w:szCs w:val="24"/>
        </w:rPr>
        <w:t xml:space="preserve"> S8.</w:t>
      </w:r>
      <w:r w:rsidRPr="00DD4B8B">
        <w:rPr>
          <w:rFonts w:ascii="Times New Roman" w:hAnsi="Times New Roman" w:cs="Times New Roman"/>
          <w:sz w:val="24"/>
          <w:szCs w:val="24"/>
        </w:rPr>
        <w:t xml:space="preserve"> Checkerboard solution for the </w:t>
      </w:r>
      <w:r w:rsidR="00374394">
        <w:rPr>
          <w:rFonts w:ascii="Times New Roman" w:hAnsi="Times New Roman" w:cs="Times New Roman"/>
          <w:sz w:val="24"/>
          <w:szCs w:val="24"/>
        </w:rPr>
        <w:t xml:space="preserve">W. of </w:t>
      </w:r>
      <w:r w:rsidRPr="00DD4B8B">
        <w:rPr>
          <w:rFonts w:ascii="Times New Roman" w:hAnsi="Times New Roman" w:cs="Times New Roman"/>
          <w:sz w:val="24"/>
          <w:szCs w:val="24"/>
        </w:rPr>
        <w:t>Abra River Fault source geometry, with strike-slip checkers.</w:t>
      </w:r>
    </w:p>
    <w:p w14:paraId="4BA549A7" w14:textId="77777777" w:rsidR="00DD4B8B" w:rsidRPr="00DD4B8B" w:rsidRDefault="00DD4B8B" w:rsidP="00DD4B8B">
      <w:pPr>
        <w:spacing w:after="0" w:line="240" w:lineRule="auto"/>
        <w:rPr>
          <w:rFonts w:ascii="Times New Roman" w:hAnsi="Times New Roman" w:cs="Times New Roman"/>
          <w:sz w:val="24"/>
          <w:szCs w:val="24"/>
        </w:rPr>
      </w:pPr>
    </w:p>
    <w:p w14:paraId="538A1373" w14:textId="4D5F4E25" w:rsidR="005502FE" w:rsidRPr="00DD4B8B" w:rsidRDefault="00DD4B8B" w:rsidP="00DD4B8B">
      <w:pPr>
        <w:spacing w:after="0" w:line="240" w:lineRule="auto"/>
        <w:rPr>
          <w:rFonts w:ascii="Times New Roman" w:hAnsi="Times New Roman" w:cs="Times New Roman"/>
          <w:sz w:val="24"/>
          <w:szCs w:val="24"/>
        </w:rPr>
      </w:pPr>
      <w:r>
        <w:rPr>
          <w:noProof/>
        </w:rPr>
        <w:drawing>
          <wp:inline distT="0" distB="0" distL="0" distR="0" wp14:anchorId="1FC4825A" wp14:editId="45FB69C7">
            <wp:extent cx="5943600" cy="31438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143885"/>
                    </a:xfrm>
                    <a:prstGeom prst="rect">
                      <a:avLst/>
                    </a:prstGeom>
                    <a:noFill/>
                    <a:ln>
                      <a:noFill/>
                    </a:ln>
                  </pic:spPr>
                </pic:pic>
              </a:graphicData>
            </a:graphic>
          </wp:inline>
        </w:drawing>
      </w:r>
      <w:r>
        <w:rPr>
          <w:rFonts w:ascii="Times New Roman" w:hAnsi="Times New Roman" w:cs="Times New Roman"/>
          <w:b/>
          <w:bCs/>
          <w:sz w:val="24"/>
          <w:szCs w:val="24"/>
        </w:rPr>
        <w:t xml:space="preserve">Figure </w:t>
      </w:r>
      <w:r w:rsidRPr="00DD4B8B">
        <w:rPr>
          <w:rFonts w:ascii="Times New Roman" w:hAnsi="Times New Roman" w:cs="Times New Roman"/>
          <w:b/>
          <w:bCs/>
          <w:sz w:val="24"/>
          <w:szCs w:val="24"/>
        </w:rPr>
        <w:t>S9.</w:t>
      </w:r>
      <w:r w:rsidRPr="00DD4B8B">
        <w:rPr>
          <w:rFonts w:ascii="Times New Roman" w:hAnsi="Times New Roman" w:cs="Times New Roman"/>
          <w:sz w:val="24"/>
          <w:szCs w:val="24"/>
        </w:rPr>
        <w:t xml:space="preserve"> Unwrapped phase diagrams illustrating the effects of tropospheric delay. The first panel shows the data prior to correction. The last panel shows the data after applying tropospheric correction using the General Atmospheric Correction Online Service (Yu et al., 152 2017; Yu et al., 2018a; Yu et al., 2018b). The middle panel shows the difference between the two and represents the tropospheric delay. The delay mean is -3.48 radians and the standard deviation is 2.51 radians.</w:t>
      </w:r>
    </w:p>
    <w:sectPr w:rsidR="005502FE" w:rsidRPr="00DD4B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8B"/>
    <w:rsid w:val="001E68A3"/>
    <w:rsid w:val="00374394"/>
    <w:rsid w:val="005502FE"/>
    <w:rsid w:val="0088373D"/>
    <w:rsid w:val="00A044D7"/>
    <w:rsid w:val="00C940FA"/>
    <w:rsid w:val="00DD4B8B"/>
    <w:rsid w:val="00F123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431C"/>
  <w15:chartTrackingRefBased/>
  <w15:docId w15:val="{9DE60227-8120-46CA-8617-DEAE606E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Rimando</dc:creator>
  <cp:keywords/>
  <dc:description/>
  <cp:lastModifiedBy>Jeremy Rimando</cp:lastModifiedBy>
  <cp:revision>6</cp:revision>
  <dcterms:created xsi:type="dcterms:W3CDTF">2022-10-20T11:15:00Z</dcterms:created>
  <dcterms:modified xsi:type="dcterms:W3CDTF">2022-10-20T13:59:00Z</dcterms:modified>
</cp:coreProperties>
</file>